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5962" w:rsidRPr="006B7DA3" w:rsidRDefault="00850293" w:rsidP="0092692B">
      <w:pPr>
        <w:pStyle w:val="Brdtekst"/>
        <w:tabs>
          <w:tab w:val="left" w:pos="1701"/>
        </w:tabs>
        <w:rPr>
          <w:lang w:val="sv-SE"/>
        </w:rPr>
      </w:pPr>
      <w:r w:rsidRPr="006B7DA3">
        <w:rPr>
          <w:lang w:val="sv-SE"/>
        </w:rPr>
        <w:t>ANM</w:t>
      </w:r>
      <w:r w:rsidR="00471104" w:rsidRPr="006B7DA3">
        <w:rPr>
          <w:lang w:val="sv-SE"/>
        </w:rPr>
        <w:t>1</w:t>
      </w:r>
      <w:r w:rsidR="00C40BF7" w:rsidRPr="006B7DA3">
        <w:rPr>
          <w:lang w:val="sv-SE"/>
        </w:rPr>
        <w:t>9</w:t>
      </w:r>
      <w:r w:rsidR="0092692B" w:rsidRPr="006B7DA3">
        <w:rPr>
          <w:lang w:val="sv-SE"/>
        </w:rPr>
        <w:tab/>
      </w:r>
      <w:r w:rsidR="0008557F">
        <w:rPr>
          <w:lang w:val="sv-SE"/>
        </w:rPr>
        <w:t>Working</w:t>
      </w:r>
      <w:r w:rsidR="00A0389B" w:rsidRPr="006B7DA3">
        <w:rPr>
          <w:lang w:val="sv-SE"/>
        </w:rPr>
        <w:t xml:space="preserve"> </w:t>
      </w:r>
      <w:r w:rsidR="001C44A3" w:rsidRPr="006B7DA3">
        <w:rPr>
          <w:lang w:val="sv-SE"/>
        </w:rPr>
        <w:t>paper</w:t>
      </w:r>
    </w:p>
    <w:p w:rsidR="00A446C9" w:rsidRPr="006B7DA3" w:rsidRDefault="00A446C9" w:rsidP="00362CD9">
      <w:pPr>
        <w:pStyle w:val="Brdtekst"/>
        <w:tabs>
          <w:tab w:val="left" w:pos="1701"/>
        </w:tabs>
        <w:rPr>
          <w:lang w:val="sv-SE"/>
        </w:rPr>
      </w:pPr>
      <w:r w:rsidRPr="006B7DA3">
        <w:rPr>
          <w:lang w:val="sv-SE"/>
        </w:rPr>
        <w:t>Agenda item</w:t>
      </w:r>
      <w:r w:rsidR="001C44A3" w:rsidRPr="006B7DA3">
        <w:rPr>
          <w:lang w:val="sv-SE"/>
        </w:rPr>
        <w:tab/>
      </w:r>
      <w:r w:rsidR="00D50122" w:rsidRPr="006B7DA3">
        <w:rPr>
          <w:lang w:val="sv-SE"/>
        </w:rPr>
        <w:t>9.2</w:t>
      </w:r>
    </w:p>
    <w:p w:rsidR="00A446C9" w:rsidRDefault="00A446C9" w:rsidP="00362CD9">
      <w:pPr>
        <w:pStyle w:val="Brdtekst"/>
        <w:tabs>
          <w:tab w:val="left" w:pos="1701"/>
        </w:tabs>
      </w:pPr>
      <w:r>
        <w:t>Task Number</w:t>
      </w:r>
      <w:r w:rsidR="001C44A3">
        <w:tab/>
      </w:r>
      <w:r w:rsidR="00D50122">
        <w:t>7</w:t>
      </w:r>
    </w:p>
    <w:p w:rsidR="00362CD9" w:rsidRDefault="00362CD9" w:rsidP="00362CD9">
      <w:pPr>
        <w:pStyle w:val="Brdtekst"/>
        <w:tabs>
          <w:tab w:val="left" w:pos="1701"/>
        </w:tabs>
      </w:pPr>
      <w:r>
        <w:t>Author(s)</w:t>
      </w:r>
      <w:r>
        <w:tab/>
      </w:r>
      <w:proofErr w:type="spellStart"/>
      <w:r w:rsidR="00504EC4">
        <w:t>Bjoern</w:t>
      </w:r>
      <w:proofErr w:type="spellEnd"/>
      <w:r w:rsidR="00504EC4">
        <w:t xml:space="preserve"> Erik Krosness, </w:t>
      </w:r>
      <w:proofErr w:type="spellStart"/>
      <w:r w:rsidR="00504EC4">
        <w:t>Minsu</w:t>
      </w:r>
      <w:proofErr w:type="spellEnd"/>
      <w:r w:rsidR="00504EC4">
        <w:t xml:space="preserve"> </w:t>
      </w:r>
      <w:proofErr w:type="spellStart"/>
      <w:r w:rsidR="00504EC4">
        <w:t>Jeon</w:t>
      </w:r>
      <w:proofErr w:type="spellEnd"/>
      <w:r w:rsidR="00504EC4">
        <w:t xml:space="preserve">, Johan </w:t>
      </w:r>
      <w:proofErr w:type="spellStart"/>
      <w:r w:rsidR="00504EC4">
        <w:t>Westerlund</w:t>
      </w:r>
      <w:proofErr w:type="spellEnd"/>
    </w:p>
    <w:p w:rsidR="00A446C9" w:rsidRDefault="00504EC4" w:rsidP="00A446C9">
      <w:pPr>
        <w:pStyle w:val="Tittel"/>
      </w:pPr>
      <w:r>
        <w:t>Development of guidance on issues derived from revision of the MBS</w:t>
      </w:r>
    </w:p>
    <w:p w:rsidR="00A446C9" w:rsidRDefault="00A446C9" w:rsidP="00A446C9">
      <w:pPr>
        <w:pStyle w:val="Overskrift1"/>
      </w:pPr>
      <w:r>
        <w:t>Summary</w:t>
      </w:r>
    </w:p>
    <w:p w:rsidR="00271027" w:rsidRDefault="00271027" w:rsidP="00271027">
      <w:pPr>
        <w:pStyle w:val="Brdtekst"/>
      </w:pPr>
      <w:r>
        <w:t xml:space="preserve">The </w:t>
      </w:r>
      <w:r w:rsidR="00715225">
        <w:t xml:space="preserve">new </w:t>
      </w:r>
      <w:r>
        <w:t>revised MBS</w:t>
      </w:r>
      <w:r w:rsidR="008154B9">
        <w:t xml:space="preserve"> </w:t>
      </w:r>
      <w:r w:rsidR="00715225">
        <w:t xml:space="preserve">2010 </w:t>
      </w:r>
      <w:r>
        <w:t>retained its fundamental principles while it at the same time comprised a widening of scope by incorporating other aids to navigation.</w:t>
      </w:r>
    </w:p>
    <w:p w:rsidR="00271027" w:rsidRDefault="00A018FE" w:rsidP="00B56BDF">
      <w:pPr>
        <w:pStyle w:val="Brdtekst"/>
      </w:pPr>
      <w:r>
        <w:t>Subsequently, f</w:t>
      </w:r>
      <w:r w:rsidR="00715225">
        <w:t>or certain issues derived from the revision of the MBS there are a need for guidance.</w:t>
      </w:r>
    </w:p>
    <w:p w:rsidR="00370B50" w:rsidRDefault="00715225" w:rsidP="00E55927">
      <w:pPr>
        <w:pStyle w:val="Brdtekst"/>
      </w:pPr>
      <w:r>
        <w:t>In this paper</w:t>
      </w:r>
      <w:r w:rsidR="00504EC4">
        <w:t xml:space="preserve"> guidance on</w:t>
      </w:r>
      <w:r>
        <w:t xml:space="preserve"> </w:t>
      </w:r>
      <w:r w:rsidR="00A018FE">
        <w:t>these</w:t>
      </w:r>
      <w:r w:rsidR="00504EC4">
        <w:t xml:space="preserve"> issues </w:t>
      </w:r>
      <w:r w:rsidR="00370B50">
        <w:t xml:space="preserve">are discussed and </w:t>
      </w:r>
      <w:r w:rsidR="001B2117">
        <w:t>proposal</w:t>
      </w:r>
      <w:r w:rsidR="001F42E9">
        <w:t>s</w:t>
      </w:r>
      <w:r w:rsidR="001B2117">
        <w:t xml:space="preserve"> for guidance </w:t>
      </w:r>
      <w:r>
        <w:t xml:space="preserve">put forward </w:t>
      </w:r>
      <w:r w:rsidR="00504EC4">
        <w:t>for discussion at ANM 20</w:t>
      </w:r>
      <w:r w:rsidR="00370B50">
        <w:t>.</w:t>
      </w:r>
    </w:p>
    <w:p w:rsidR="00E55927" w:rsidRPr="00B56BDF" w:rsidRDefault="00370B50" w:rsidP="00E55927">
      <w:pPr>
        <w:pStyle w:val="Brdtekst"/>
      </w:pPr>
      <w:r>
        <w:t xml:space="preserve">It is established that </w:t>
      </w:r>
      <w:r w:rsidR="001F42E9">
        <w:t xml:space="preserve">the IALA NAVGUIDE </w:t>
      </w:r>
      <w:r w:rsidR="00D50122">
        <w:t xml:space="preserve">shall be </w:t>
      </w:r>
      <w:r w:rsidR="001F42E9">
        <w:t>the vehicle for such guidance</w:t>
      </w:r>
      <w:r w:rsidR="00504EC4">
        <w:t>.</w:t>
      </w:r>
    </w:p>
    <w:p w:rsidR="00B56BDF" w:rsidRDefault="00B56BDF" w:rsidP="00B56BDF">
      <w:pPr>
        <w:pStyle w:val="Overskrift2"/>
      </w:pPr>
      <w:r>
        <w:t>Related documents</w:t>
      </w:r>
    </w:p>
    <w:p w:rsidR="00271027" w:rsidRDefault="00D17788" w:rsidP="00271027">
      <w:pPr>
        <w:pStyle w:val="Brdtekst"/>
        <w:numPr>
          <w:ilvl w:val="0"/>
          <w:numId w:val="43"/>
        </w:numPr>
      </w:pPr>
      <w:r>
        <w:t>IALA Maritime Buoyage System</w:t>
      </w:r>
      <w:r>
        <w:rPr>
          <w:rStyle w:val="Fotnotereferanse"/>
        </w:rPr>
        <w:footnoteReference w:id="1"/>
      </w:r>
    </w:p>
    <w:p w:rsidR="008E3299" w:rsidRPr="00331418" w:rsidRDefault="008E3299" w:rsidP="008E3299">
      <w:pPr>
        <w:pStyle w:val="Bullet2"/>
        <w:numPr>
          <w:ilvl w:val="0"/>
          <w:numId w:val="43"/>
        </w:numPr>
      </w:pPr>
      <w:r w:rsidRPr="003E2078">
        <w:t xml:space="preserve">IALA Maritime </w:t>
      </w:r>
      <w:proofErr w:type="spellStart"/>
      <w:r w:rsidRPr="003E2078">
        <w:t>Buoyage</w:t>
      </w:r>
      <w:proofErr w:type="spellEnd"/>
      <w:r w:rsidRPr="003E2078">
        <w:t xml:space="preserve"> System Guidelines 1983</w:t>
      </w:r>
    </w:p>
    <w:p w:rsidR="00271027" w:rsidRDefault="00271027" w:rsidP="00271027">
      <w:pPr>
        <w:pStyle w:val="Brdtekst"/>
        <w:numPr>
          <w:ilvl w:val="0"/>
          <w:numId w:val="43"/>
        </w:numPr>
      </w:pPr>
      <w:r w:rsidRPr="00331418">
        <w:t xml:space="preserve">The summary and conclusions of the MBS stakeholder </w:t>
      </w:r>
      <w:r w:rsidR="00402448">
        <w:t>survey</w:t>
      </w:r>
    </w:p>
    <w:p w:rsidR="00895219" w:rsidRDefault="00271027" w:rsidP="00895219">
      <w:pPr>
        <w:pStyle w:val="Brdtekst"/>
        <w:numPr>
          <w:ilvl w:val="0"/>
          <w:numId w:val="43"/>
        </w:numPr>
      </w:pPr>
      <w:r>
        <w:t>List of outstanding marking issues identified in Task 7</w:t>
      </w:r>
      <w:r w:rsidR="00402448">
        <w:t xml:space="preserve"> in the ANM Committee task list</w:t>
      </w:r>
    </w:p>
    <w:p w:rsidR="00CA5507" w:rsidRPr="003E2078" w:rsidRDefault="00CA5507" w:rsidP="00CA5507">
      <w:pPr>
        <w:pStyle w:val="Bullet2"/>
        <w:numPr>
          <w:ilvl w:val="0"/>
          <w:numId w:val="43"/>
        </w:numPr>
      </w:pPr>
      <w:r w:rsidRPr="00034DA7">
        <w:rPr>
          <w:color w:val="221E1F"/>
        </w:rPr>
        <w:t>Regulations of the IHO for international (INT) charts and chart specifications of the IHO and IHO</w:t>
      </w:r>
      <w:r w:rsidRPr="00034DA7">
        <w:t xml:space="preserve"> paper based description of symbols for use on ECDIS</w:t>
      </w:r>
    </w:p>
    <w:p w:rsidR="00A446C9" w:rsidRDefault="00A446C9" w:rsidP="00A446C9">
      <w:pPr>
        <w:pStyle w:val="Overskrift1"/>
      </w:pPr>
      <w:r>
        <w:t>Discussion</w:t>
      </w:r>
    </w:p>
    <w:p w:rsidR="008E3299" w:rsidRDefault="008E3299" w:rsidP="008E3299">
      <w:pPr>
        <w:pStyle w:val="Overskrift2"/>
      </w:pPr>
      <w:r>
        <w:t xml:space="preserve">Adverse effect </w:t>
      </w:r>
      <w:r w:rsidRPr="00331418">
        <w:t xml:space="preserve">of </w:t>
      </w:r>
      <w:r>
        <w:t xml:space="preserve">a proliferation in the use of </w:t>
      </w:r>
      <w:r w:rsidRPr="00331418">
        <w:t>Cardinal Marks</w:t>
      </w:r>
    </w:p>
    <w:p w:rsidR="008E3299" w:rsidRDefault="008E3299" w:rsidP="008E3299">
      <w:pPr>
        <w:pStyle w:val="Brdtekst"/>
      </w:pPr>
      <w:r>
        <w:t>Statement:</w:t>
      </w:r>
    </w:p>
    <w:p w:rsidR="008E3299" w:rsidRDefault="008E3299" w:rsidP="008E3299">
      <w:pPr>
        <w:pStyle w:val="Brdtekst"/>
      </w:pPr>
      <w:r>
        <w:t>“</w:t>
      </w:r>
      <w:r w:rsidRPr="00331418">
        <w:t xml:space="preserve">There has been a proliferation in the use of Cardinal Marks with consequent confusion or inability to distinguish the meaning of individual </w:t>
      </w:r>
      <w:proofErr w:type="spellStart"/>
      <w:r w:rsidRPr="00331418">
        <w:t>AtoNs</w:t>
      </w:r>
      <w:proofErr w:type="spellEnd"/>
      <w:r w:rsidRPr="00331418">
        <w:t>.</w:t>
      </w:r>
      <w:r>
        <w:t>”</w:t>
      </w:r>
    </w:p>
    <w:p w:rsidR="008E3299" w:rsidRDefault="008E3299" w:rsidP="008E3299">
      <w:pPr>
        <w:pStyle w:val="Brdtekst"/>
      </w:pPr>
      <w:r>
        <w:t>Discussion:</w:t>
      </w:r>
    </w:p>
    <w:p w:rsidR="008E3299" w:rsidRDefault="008E3299" w:rsidP="008E3299">
      <w:pPr>
        <w:pStyle w:val="Brdtekst"/>
      </w:pPr>
      <w:r>
        <w:t>Cardinal marks require the mariner to interpret shapes and colours in daylight and complex light characters during night. What they see they have to relate to the true bearings NW – NE, NE – SE, SE – SW and SW – NW taken from the point of interest, and work out the appropriate course to steer from their position. This comprises rather complex thought processes.</w:t>
      </w:r>
    </w:p>
    <w:p w:rsidR="008E3299" w:rsidRDefault="008E3299" w:rsidP="008E3299">
      <w:pPr>
        <w:pStyle w:val="Brdtekst"/>
      </w:pPr>
      <w:r>
        <w:t>In areas with a large tide the colour scheme intended for identification in daylight of a fixed North Cardinal mark can be disguised by high water. Similarly it can be difficult to detect the signals of floating North and South Cardinal Marks in waves during darkness.</w:t>
      </w:r>
    </w:p>
    <w:p w:rsidR="008E3299" w:rsidRDefault="008E3299" w:rsidP="008E3299">
      <w:pPr>
        <w:pStyle w:val="Brdtekst"/>
      </w:pPr>
      <w:r>
        <w:t>Effects of these inherent properties of the Cardinal Marks are amplified where there are a relatively large number of Cardinal Marks in a limited area.</w:t>
      </w:r>
    </w:p>
    <w:p w:rsidR="008E3299" w:rsidRDefault="008E3299" w:rsidP="008E3299">
      <w:pPr>
        <w:pStyle w:val="Brdtekst"/>
      </w:pPr>
      <w:r>
        <w:t>Guidance:</w:t>
      </w:r>
    </w:p>
    <w:p w:rsidR="008E3299" w:rsidRDefault="008E3299" w:rsidP="008E3299">
      <w:pPr>
        <w:pStyle w:val="Brdtekst"/>
      </w:pPr>
      <w:r>
        <w:t xml:space="preserve">“Under various circumstances, especially when a number of Cardinal Marks are used near to each other, it can be difficult for mariners to interpret and use the navigational guidance given. </w:t>
      </w:r>
      <w:r>
        <w:lastRenderedPageBreak/>
        <w:t>Competent Authorities should bear this in mind and consider the use of other appropriate marks when planning the overall system of Aids to Navigation in a specific area.”</w:t>
      </w:r>
    </w:p>
    <w:p w:rsidR="008E3299" w:rsidRDefault="008E3299" w:rsidP="008E3299">
      <w:pPr>
        <w:pStyle w:val="Overskrift2"/>
      </w:pPr>
      <w:r>
        <w:t>A need for clearer guidance on the use of the Isolated Danger Mark</w:t>
      </w:r>
    </w:p>
    <w:p w:rsidR="008E3299" w:rsidRDefault="008E3299" w:rsidP="008E3299">
      <w:pPr>
        <w:pStyle w:val="Brdtekst"/>
      </w:pPr>
      <w:r>
        <w:t>Statement:</w:t>
      </w:r>
    </w:p>
    <w:p w:rsidR="008E3299" w:rsidRDefault="008E3299" w:rsidP="008E3299">
      <w:pPr>
        <w:pStyle w:val="Brdtekst"/>
      </w:pPr>
      <w:r>
        <w:t>“</w:t>
      </w:r>
      <w:r w:rsidRPr="00331418">
        <w:t>There is support that the Isolated Danger Mark should have clearer guidance on its use and that there should be means of indicating the extent of the hazard.</w:t>
      </w:r>
      <w:r>
        <w:t>”</w:t>
      </w:r>
    </w:p>
    <w:p w:rsidR="008E3299" w:rsidRDefault="008E3299" w:rsidP="008E3299">
      <w:pPr>
        <w:pStyle w:val="Brdtekst"/>
      </w:pPr>
      <w:r>
        <w:t>Discussion:</w:t>
      </w:r>
    </w:p>
    <w:p w:rsidR="008E3299" w:rsidRDefault="008E3299" w:rsidP="008E3299">
      <w:pPr>
        <w:pStyle w:val="Brdtekst"/>
      </w:pPr>
      <w:r>
        <w:t>The Isolated Danger Mark is as its name indicates a mark that is erected on, or moored on or above an isolated danger which has navigable water all around it. Even if the extent of the danger is limited, it is important that it should be possible for the mariner</w:t>
      </w:r>
      <w:r w:rsidRPr="00863B25">
        <w:t xml:space="preserve"> </w:t>
      </w:r>
      <w:r>
        <w:t xml:space="preserve">to recognize it. This could be resolved if the isolated danger is properly portrayed in the nautical chart. </w:t>
      </w:r>
    </w:p>
    <w:p w:rsidR="008E3299" w:rsidRDefault="008E3299" w:rsidP="008E3299">
      <w:pPr>
        <w:pStyle w:val="Brdtekst"/>
      </w:pPr>
      <w:r>
        <w:t>Guidance:</w:t>
      </w:r>
    </w:p>
    <w:p w:rsidR="008E3299" w:rsidRPr="00331418" w:rsidRDefault="008E3299" w:rsidP="008E3299">
      <w:pPr>
        <w:pStyle w:val="Brdtekst"/>
      </w:pPr>
      <w:r>
        <w:t>“The Competent Authority should if possible make certain that Isolated Danger Marks are used only where there is navigable water all around the mark. The term navigable water does in this context describe where a ship with the maximum draft of a particular fairway can navigate safely. Thus the ship should be able to pass the Isolated Danger Mark at a similar distance as to any lateral marks in the fairway. If the extent of the danger is too great to allow safe navigation close to the Isolated Danger mark, the danger must be properly portrayed in the nautical chart.”</w:t>
      </w:r>
    </w:p>
    <w:p w:rsidR="00384B82" w:rsidRDefault="00384B82" w:rsidP="000C71DA">
      <w:pPr>
        <w:pStyle w:val="Overskrift2"/>
      </w:pPr>
      <w:r>
        <w:t xml:space="preserve">The different uses of </w:t>
      </w:r>
      <w:r w:rsidRPr="000C71DA">
        <w:t>Special</w:t>
      </w:r>
      <w:r>
        <w:t xml:space="preserve"> Marks</w:t>
      </w:r>
    </w:p>
    <w:p w:rsidR="005D4F14" w:rsidRDefault="005D4F14" w:rsidP="00384B82">
      <w:pPr>
        <w:pStyle w:val="Brdtekst"/>
      </w:pPr>
      <w:r>
        <w:t>Statement:</w:t>
      </w:r>
    </w:p>
    <w:p w:rsidR="005D4F14" w:rsidRDefault="005D4F14" w:rsidP="00384B82">
      <w:pPr>
        <w:pStyle w:val="Brdtekst"/>
      </w:pPr>
      <w:r>
        <w:t>“</w:t>
      </w:r>
      <w:r w:rsidR="00384B82" w:rsidRPr="00331418">
        <w:t>There has been a proliferation in the use of Special Marks as an ‘all-purpose’ aid; it is desirable to distinguish the different uses of Special Marks.</w:t>
      </w:r>
      <w:r>
        <w:t>”</w:t>
      </w:r>
    </w:p>
    <w:p w:rsidR="00290071" w:rsidRDefault="00290071" w:rsidP="00384B82">
      <w:pPr>
        <w:pStyle w:val="Brdtekst"/>
      </w:pPr>
      <w:r>
        <w:t>Discussion:</w:t>
      </w:r>
    </w:p>
    <w:p w:rsidR="00A52330" w:rsidRDefault="007B5FCE" w:rsidP="00384B82">
      <w:pPr>
        <w:pStyle w:val="Brdtekst"/>
      </w:pPr>
      <w:r>
        <w:t xml:space="preserve">Special Marks are no longer special as originally intended. </w:t>
      </w:r>
      <w:r w:rsidR="00290071">
        <w:t xml:space="preserve">The MBS defines a number of different uses of Special Marks </w:t>
      </w:r>
      <w:r w:rsidR="002D782D">
        <w:t>for which it is convenient</w:t>
      </w:r>
      <w:r w:rsidR="00217C58">
        <w:t>,</w:t>
      </w:r>
      <w:r w:rsidR="002D782D">
        <w:t xml:space="preserve"> </w:t>
      </w:r>
      <w:r w:rsidR="00290071">
        <w:t>and the proliferation of i</w:t>
      </w:r>
      <w:r w:rsidR="00E76425">
        <w:t>t</w:t>
      </w:r>
      <w:r w:rsidR="00290071">
        <w:t xml:space="preserve">s use is </w:t>
      </w:r>
      <w:r w:rsidR="002D782D">
        <w:t xml:space="preserve">consequently </w:t>
      </w:r>
      <w:r w:rsidR="00290071">
        <w:t>what c</w:t>
      </w:r>
      <w:r w:rsidR="00A52330">
        <w:t>an</w:t>
      </w:r>
      <w:r w:rsidR="00290071">
        <w:t xml:space="preserve"> be expected. </w:t>
      </w:r>
      <w:r w:rsidR="002D782D">
        <w:t>I</w:t>
      </w:r>
      <w:r w:rsidR="00A52330">
        <w:t>ts</w:t>
      </w:r>
      <w:r w:rsidR="00290071">
        <w:t xml:space="preserve"> yellow colour </w:t>
      </w:r>
      <w:r w:rsidR="00A52330">
        <w:t xml:space="preserve">is conspicuous </w:t>
      </w:r>
      <w:r w:rsidR="002D782D">
        <w:t xml:space="preserve">at sea and </w:t>
      </w:r>
      <w:r w:rsidR="00A52330">
        <w:t>contribute</w:t>
      </w:r>
      <w:r w:rsidR="009B140A">
        <w:t>s</w:t>
      </w:r>
      <w:r w:rsidR="00A52330">
        <w:t xml:space="preserve"> to its </w:t>
      </w:r>
      <w:r w:rsidR="00F231C1">
        <w:t>versat</w:t>
      </w:r>
      <w:r w:rsidR="00A52330">
        <w:t>ility.</w:t>
      </w:r>
    </w:p>
    <w:p w:rsidR="002D782D" w:rsidRDefault="002D782D" w:rsidP="00F960C4">
      <w:pPr>
        <w:pStyle w:val="Brdtekst"/>
      </w:pPr>
      <w:r>
        <w:t>Guidance:</w:t>
      </w:r>
    </w:p>
    <w:p w:rsidR="00F960C4" w:rsidRDefault="002D782D" w:rsidP="00F960C4">
      <w:pPr>
        <w:pStyle w:val="Brdtekst"/>
      </w:pPr>
      <w:r>
        <w:t>“</w:t>
      </w:r>
      <w:r w:rsidR="00F960C4">
        <w:t xml:space="preserve">When Special Marks are used for different purposes adjacent to each other it may be difficult for mariners to distinguish between </w:t>
      </w:r>
      <w:r>
        <w:t>them</w:t>
      </w:r>
      <w:r w:rsidR="00F960C4">
        <w:t xml:space="preserve">. In such situations the use of other marks may be more appropriate. </w:t>
      </w:r>
      <w:r w:rsidR="00F231C1">
        <w:t>T</w:t>
      </w:r>
      <w:r w:rsidR="00F960C4">
        <w:t xml:space="preserve">he use of </w:t>
      </w:r>
      <w:r w:rsidR="00F231C1">
        <w:t xml:space="preserve">Special Marks with </w:t>
      </w:r>
      <w:r w:rsidR="00F960C4">
        <w:t>pictograms</w:t>
      </w:r>
      <w:r w:rsidR="00F231C1">
        <w:t xml:space="preserve"> could also be considered</w:t>
      </w:r>
      <w:r w:rsidR="00F960C4">
        <w:t>.</w:t>
      </w:r>
      <w:r>
        <w:t>”</w:t>
      </w:r>
    </w:p>
    <w:p w:rsidR="00384B82" w:rsidRDefault="00384B82" w:rsidP="00384B82">
      <w:pPr>
        <w:pStyle w:val="Overskrift2"/>
      </w:pPr>
      <w:r>
        <w:t>R</w:t>
      </w:r>
      <w:r w:rsidRPr="00331418">
        <w:t xml:space="preserve">e-defining </w:t>
      </w:r>
      <w:r w:rsidR="00893953">
        <w:t>the use of the S</w:t>
      </w:r>
      <w:r w:rsidRPr="00331418">
        <w:t>pecial Mark</w:t>
      </w:r>
      <w:r w:rsidR="00893953">
        <w:t>s</w:t>
      </w:r>
    </w:p>
    <w:p w:rsidR="005D4F14" w:rsidRDefault="005D4F14" w:rsidP="00384B82">
      <w:pPr>
        <w:pStyle w:val="Brdtekst"/>
      </w:pPr>
      <w:r>
        <w:t>Statement:</w:t>
      </w:r>
    </w:p>
    <w:p w:rsidR="00384B82" w:rsidRDefault="005D4F14" w:rsidP="00384B82">
      <w:pPr>
        <w:pStyle w:val="Brdtekst"/>
      </w:pPr>
      <w:r>
        <w:t>“</w:t>
      </w:r>
      <w:r w:rsidR="00384B82" w:rsidRPr="00331418">
        <w:t>There is support for re-defining Special Marks to allow its use as a navigational mark.</w:t>
      </w:r>
      <w:r>
        <w:t>”</w:t>
      </w:r>
    </w:p>
    <w:p w:rsidR="00BC3223" w:rsidRDefault="00BC3223" w:rsidP="00384B82">
      <w:pPr>
        <w:pStyle w:val="Brdtekst"/>
      </w:pPr>
      <w:r>
        <w:t>Discussion:</w:t>
      </w:r>
    </w:p>
    <w:p w:rsidR="00895219" w:rsidRDefault="00201D3A" w:rsidP="00384B82">
      <w:pPr>
        <w:pStyle w:val="Brdtekst"/>
      </w:pPr>
      <w:r>
        <w:t xml:space="preserve">It is not stated in the MBS that Special Marks are not navigational marks. However it is recommended </w:t>
      </w:r>
      <w:r w:rsidR="00217C58">
        <w:t xml:space="preserve">not </w:t>
      </w:r>
      <w:r>
        <w:t>to use them, where other types are more appropriate and recognisable by the mariner.</w:t>
      </w:r>
    </w:p>
    <w:p w:rsidR="00BC3223" w:rsidRDefault="00895219" w:rsidP="00384B82">
      <w:pPr>
        <w:pStyle w:val="Brdtekst"/>
      </w:pPr>
      <w:r>
        <w:t xml:space="preserve">For example </w:t>
      </w:r>
      <w:r w:rsidR="00B9631F">
        <w:t>w</w:t>
      </w:r>
      <w:r>
        <w:t>hen Special Marks are used</w:t>
      </w:r>
      <w:r w:rsidRPr="00895219">
        <w:t xml:space="preserve"> </w:t>
      </w:r>
      <w:r>
        <w:t>to define a channel within a channel it</w:t>
      </w:r>
      <w:r w:rsidR="00B9631F">
        <w:t xml:space="preserve"> might be appropriate to give guidance on the shape of the buoys. </w:t>
      </w:r>
      <w:r>
        <w:t xml:space="preserve"> </w:t>
      </w:r>
      <w:r w:rsidR="00B9631F">
        <w:t>This is not discussed further here.</w:t>
      </w:r>
    </w:p>
    <w:p w:rsidR="00201D3A" w:rsidRDefault="00201D3A" w:rsidP="00384B82">
      <w:pPr>
        <w:pStyle w:val="Brdtekst"/>
      </w:pPr>
      <w:r>
        <w:t>Guidance:</w:t>
      </w:r>
    </w:p>
    <w:p w:rsidR="00994ECF" w:rsidRDefault="00893953" w:rsidP="00384B82">
      <w:pPr>
        <w:pStyle w:val="Brdtekst"/>
      </w:pPr>
      <w:r>
        <w:t>“</w:t>
      </w:r>
      <w:r w:rsidR="0071324F">
        <w:t xml:space="preserve">Although </w:t>
      </w:r>
      <w:r>
        <w:t xml:space="preserve">Special Marks are not generally intended to mark channels or obstructions, </w:t>
      </w:r>
      <w:r w:rsidR="0071324F">
        <w:t>these</w:t>
      </w:r>
      <w:r>
        <w:t xml:space="preserve"> could be used where there is a </w:t>
      </w:r>
      <w:r w:rsidR="00F25FBC">
        <w:t xml:space="preserve">specific </w:t>
      </w:r>
      <w:r>
        <w:t xml:space="preserve">need for </w:t>
      </w:r>
      <w:r w:rsidR="00F25FBC">
        <w:t>n</w:t>
      </w:r>
      <w:r>
        <w:t xml:space="preserve">avigational </w:t>
      </w:r>
      <w:r w:rsidR="00F25FBC">
        <w:t xml:space="preserve">guidance </w:t>
      </w:r>
      <w:r>
        <w:t xml:space="preserve">and </w:t>
      </w:r>
      <w:r w:rsidR="00F25FBC">
        <w:t xml:space="preserve">where </w:t>
      </w:r>
      <w:r>
        <w:t>other marks would not be suitable.</w:t>
      </w:r>
    </w:p>
    <w:p w:rsidR="00201D3A" w:rsidRDefault="0071324F" w:rsidP="00384B82">
      <w:pPr>
        <w:pStyle w:val="Brdtekst"/>
      </w:pPr>
      <w:r>
        <w:t>That is</w:t>
      </w:r>
      <w:r w:rsidR="0062103F">
        <w:t xml:space="preserve"> for example to </w:t>
      </w:r>
      <w:r>
        <w:t>define a channel within a channel, such as a channel for deep draught ships in a wide</w:t>
      </w:r>
      <w:r w:rsidR="007A503E">
        <w:t xml:space="preserve">r navigation channel </w:t>
      </w:r>
      <w:r w:rsidR="0062103F">
        <w:t>mark</w:t>
      </w:r>
      <w:r>
        <w:t>ed by</w:t>
      </w:r>
      <w:r w:rsidR="007A503E">
        <w:t xml:space="preserve"> standard</w:t>
      </w:r>
      <w:r>
        <w:t xml:space="preserve"> lateral buoys</w:t>
      </w:r>
      <w:r w:rsidR="007A503E">
        <w:t>, or special purpose channels (e</w:t>
      </w:r>
      <w:r w:rsidR="00F703D4">
        <w:t>.</w:t>
      </w:r>
      <w:r w:rsidR="007A503E">
        <w:t>g</w:t>
      </w:r>
      <w:r w:rsidR="00F703D4">
        <w:t>.</w:t>
      </w:r>
      <w:r w:rsidR="007A503E">
        <w:t xml:space="preserve"> for small craft)</w:t>
      </w:r>
      <w:r>
        <w:t>.</w:t>
      </w:r>
      <w:r w:rsidR="009D2602">
        <w:t>.</w:t>
      </w:r>
      <w:r w:rsidR="00893953">
        <w:t>”</w:t>
      </w:r>
    </w:p>
    <w:p w:rsidR="000C71DA" w:rsidRDefault="00A8743C" w:rsidP="00384B82">
      <w:pPr>
        <w:pStyle w:val="Overskrift2"/>
      </w:pPr>
      <w:r>
        <w:lastRenderedPageBreak/>
        <w:t xml:space="preserve">IHO symbols for </w:t>
      </w:r>
      <w:r w:rsidR="00516E66">
        <w:t>paper or E</w:t>
      </w:r>
      <w:r>
        <w:t xml:space="preserve">lectronic </w:t>
      </w:r>
      <w:r w:rsidR="00516E66">
        <w:t>Navigational C</w:t>
      </w:r>
      <w:r>
        <w:t xml:space="preserve">harts / </w:t>
      </w:r>
      <w:r w:rsidR="000C71DA">
        <w:t xml:space="preserve">IALA </w:t>
      </w:r>
      <w:r>
        <w:t>Special Mark</w:t>
      </w:r>
      <w:r w:rsidR="00170B28" w:rsidRPr="00170B28">
        <w:t xml:space="preserve"> </w:t>
      </w:r>
      <w:r w:rsidR="00170B28">
        <w:t>pictograms</w:t>
      </w:r>
    </w:p>
    <w:p w:rsidR="005D4F14" w:rsidRDefault="005D4F14" w:rsidP="000C71DA">
      <w:pPr>
        <w:pStyle w:val="Brdtekst"/>
      </w:pPr>
      <w:r>
        <w:t>Statement:</w:t>
      </w:r>
    </w:p>
    <w:p w:rsidR="00384B82" w:rsidRDefault="005D4F14" w:rsidP="000C71DA">
      <w:pPr>
        <w:pStyle w:val="Brdtekst"/>
      </w:pPr>
      <w:r>
        <w:t>“</w:t>
      </w:r>
      <w:r w:rsidR="00384B82" w:rsidRPr="00331418">
        <w:t>There is support that Special Marks have additional IHO approved s</w:t>
      </w:r>
      <w:bookmarkStart w:id="0" w:name="_GoBack"/>
      <w:bookmarkEnd w:id="0"/>
      <w:r w:rsidR="00384B82" w:rsidRPr="00331418">
        <w:t>ymbol</w:t>
      </w:r>
      <w:r>
        <w:t>ogy attached to the buoy.”</w:t>
      </w:r>
    </w:p>
    <w:p w:rsidR="00823193" w:rsidRDefault="007A503E" w:rsidP="000C71DA">
      <w:pPr>
        <w:pStyle w:val="Brdtekst"/>
      </w:pPr>
      <w:r>
        <w:t>Discussion:</w:t>
      </w:r>
    </w:p>
    <w:p w:rsidR="001B42F9" w:rsidRDefault="00632D89" w:rsidP="000C71DA">
      <w:pPr>
        <w:pStyle w:val="Brdtekst"/>
      </w:pPr>
      <w:r>
        <w:t>Special Mark</w:t>
      </w:r>
      <w:r w:rsidR="00170B28">
        <w:t>s</w:t>
      </w:r>
      <w:r>
        <w:t xml:space="preserve"> </w:t>
      </w:r>
      <w:r w:rsidR="00170B28">
        <w:t>are</w:t>
      </w:r>
      <w:r>
        <w:t xml:space="preserve"> portrayed</w:t>
      </w:r>
      <w:r w:rsidR="009B2085">
        <w:t xml:space="preserve"> in </w:t>
      </w:r>
      <w:r>
        <w:t xml:space="preserve">paper </w:t>
      </w:r>
      <w:r w:rsidR="009B2085">
        <w:t>chart</w:t>
      </w:r>
      <w:r w:rsidR="00170B28">
        <w:t>s</w:t>
      </w:r>
      <w:r w:rsidR="009B2085">
        <w:t xml:space="preserve"> with </w:t>
      </w:r>
      <w:r w:rsidR="00170B28">
        <w:t>their</w:t>
      </w:r>
      <w:r>
        <w:t xml:space="preserve"> body/shape </w:t>
      </w:r>
      <w:r w:rsidR="00170B28">
        <w:t>and</w:t>
      </w:r>
      <w:r>
        <w:t xml:space="preserve"> the letter </w:t>
      </w:r>
      <w:r w:rsidRPr="00632D89">
        <w:rPr>
          <w:i/>
        </w:rPr>
        <w:t>Y</w:t>
      </w:r>
      <w:r>
        <w:t xml:space="preserve"> under. In addition there can be a legend to the mark representing its purpose</w:t>
      </w:r>
      <w:r w:rsidR="009B2085">
        <w:t xml:space="preserve">. </w:t>
      </w:r>
      <w:r w:rsidR="001B42F9">
        <w:t>T</w:t>
      </w:r>
      <w:r w:rsidR="00A8743C">
        <w:t>his</w:t>
      </w:r>
      <w:r>
        <w:t xml:space="preserve"> legend can </w:t>
      </w:r>
      <w:r w:rsidR="001B42F9">
        <w:t>be from a standard set of international abbreviations or from national abbreviations.</w:t>
      </w:r>
    </w:p>
    <w:p w:rsidR="00935D5B" w:rsidRDefault="00A8743C" w:rsidP="000C71DA">
      <w:pPr>
        <w:pStyle w:val="Brdtekst"/>
      </w:pPr>
      <w:r>
        <w:t>Special Mark</w:t>
      </w:r>
      <w:r w:rsidR="00170B28">
        <w:t>s</w:t>
      </w:r>
      <w:r>
        <w:t xml:space="preserve"> </w:t>
      </w:r>
      <w:r w:rsidR="00170B28">
        <w:t>are</w:t>
      </w:r>
      <w:r>
        <w:t xml:space="preserve"> portrayed in</w:t>
      </w:r>
      <w:r w:rsidR="00935D5B">
        <w:t xml:space="preserve"> the Electronic Navigational Chart</w:t>
      </w:r>
      <w:r>
        <w:t xml:space="preserve"> </w:t>
      </w:r>
      <w:r w:rsidR="00CA5507">
        <w:t xml:space="preserve">(ENC) </w:t>
      </w:r>
      <w:r w:rsidR="00CF5946">
        <w:t>either with simplified ENC symbols or the traditional chart symbols.</w:t>
      </w:r>
    </w:p>
    <w:p w:rsidR="00A8743C" w:rsidRDefault="001B42F9" w:rsidP="000C71DA">
      <w:pPr>
        <w:pStyle w:val="Brdtekst"/>
      </w:pPr>
      <w:r>
        <w:t>This means that the</w:t>
      </w:r>
      <w:r w:rsidR="002F24BB">
        <w:t xml:space="preserve">re </w:t>
      </w:r>
      <w:r w:rsidR="00FD3D98">
        <w:t>is</w:t>
      </w:r>
      <w:r>
        <w:t xml:space="preserve"> IHO symbology </w:t>
      </w:r>
      <w:r w:rsidR="002F24BB">
        <w:t>for the portrayal of Special Marks</w:t>
      </w:r>
      <w:r w:rsidR="00A8743C">
        <w:t xml:space="preserve">, although the numbers of </w:t>
      </w:r>
      <w:r w:rsidR="00CF5946">
        <w:t xml:space="preserve">international abbreviated </w:t>
      </w:r>
      <w:r w:rsidR="00A8743C">
        <w:t xml:space="preserve">legends </w:t>
      </w:r>
      <w:r w:rsidR="0026152E">
        <w:t>for paper</w:t>
      </w:r>
      <w:r w:rsidR="00CF5946">
        <w:t xml:space="preserve"> charts </w:t>
      </w:r>
      <w:r w:rsidR="00A8743C">
        <w:t>are</w:t>
      </w:r>
      <w:r>
        <w:t xml:space="preserve"> limited</w:t>
      </w:r>
      <w:r w:rsidR="00CF5946">
        <w:t xml:space="preserve"> and </w:t>
      </w:r>
      <w:r w:rsidR="00AE0243">
        <w:t xml:space="preserve">do </w:t>
      </w:r>
      <w:r w:rsidR="00CF5946">
        <w:t>not exist for ENCs</w:t>
      </w:r>
      <w:r>
        <w:t>.</w:t>
      </w:r>
    </w:p>
    <w:p w:rsidR="005B189A" w:rsidRDefault="00A8743C" w:rsidP="000C71DA">
      <w:pPr>
        <w:pStyle w:val="Brdtekst"/>
      </w:pPr>
      <w:r>
        <w:t xml:space="preserve">In the </w:t>
      </w:r>
      <w:r w:rsidR="00AE0243">
        <w:t xml:space="preserve">IALA </w:t>
      </w:r>
      <w:r>
        <w:t xml:space="preserve">MBS the use of pictograms is authorized, but </w:t>
      </w:r>
      <w:r w:rsidR="00B17F9D">
        <w:t xml:space="preserve">their definition </w:t>
      </w:r>
      <w:r>
        <w:t xml:space="preserve">is </w:t>
      </w:r>
      <w:r w:rsidR="00B17F9D">
        <w:t xml:space="preserve">left to the </w:t>
      </w:r>
      <w:r w:rsidR="006E689B">
        <w:t>C</w:t>
      </w:r>
      <w:r w:rsidR="00BE0B92">
        <w:t>ompetent</w:t>
      </w:r>
      <w:r w:rsidR="006E689B">
        <w:t xml:space="preserve"> A</w:t>
      </w:r>
      <w:r w:rsidR="00BE0B92">
        <w:t>uthority</w:t>
      </w:r>
      <w:r w:rsidR="00B17F9D">
        <w:t xml:space="preserve">. </w:t>
      </w:r>
      <w:r w:rsidR="00273FB2">
        <w:t>Currently there is no IALA guidance o</w:t>
      </w:r>
      <w:r w:rsidR="00B17F9D">
        <w:t>n the design of pictograms.</w:t>
      </w:r>
    </w:p>
    <w:p w:rsidR="00516E66" w:rsidRDefault="007B5FCE" w:rsidP="000C71DA">
      <w:pPr>
        <w:pStyle w:val="Brdtekst"/>
      </w:pPr>
      <w:r>
        <w:t xml:space="preserve">It would be possible to use the IHO </w:t>
      </w:r>
      <w:r w:rsidR="00516E66">
        <w:t xml:space="preserve">chart </w:t>
      </w:r>
      <w:r>
        <w:t xml:space="preserve">symbology regarding areas and limits </w:t>
      </w:r>
      <w:r w:rsidR="00516E66">
        <w:t>to achieve pictogram symbols easily recognised by mariners. Examples of this are the ‘Entry Prohibited’ or ‘Anchorage’ symbols.</w:t>
      </w:r>
    </w:p>
    <w:p w:rsidR="00A8743C" w:rsidRDefault="00516E66" w:rsidP="000C71DA">
      <w:pPr>
        <w:pStyle w:val="Brdtekst"/>
      </w:pPr>
      <w:r>
        <w:t>Also, t</w:t>
      </w:r>
      <w:r w:rsidR="00B17F9D">
        <w:t>he exist</w:t>
      </w:r>
      <w:r>
        <w:t>ing</w:t>
      </w:r>
      <w:r w:rsidR="00B17F9D">
        <w:t xml:space="preserve"> waterway </w:t>
      </w:r>
      <w:r>
        <w:t>signs</w:t>
      </w:r>
      <w:r w:rsidR="00B17F9D">
        <w:t xml:space="preserve"> designed by international or national bodies</w:t>
      </w:r>
      <w:r>
        <w:t xml:space="preserve"> contain symbols which</w:t>
      </w:r>
      <w:r w:rsidR="00D042AA">
        <w:t xml:space="preserve"> </w:t>
      </w:r>
      <w:r>
        <w:t>could possibly be adapted to use</w:t>
      </w:r>
      <w:r w:rsidR="00D042AA">
        <w:t xml:space="preserve"> as pictograms. These are in many instances used </w:t>
      </w:r>
      <w:r w:rsidR="002F24BB">
        <w:t>at</w:t>
      </w:r>
      <w:r w:rsidR="005B189A">
        <w:t xml:space="preserve"> the same location</w:t>
      </w:r>
      <w:r w:rsidR="00D042AA">
        <w:t xml:space="preserve"> and </w:t>
      </w:r>
      <w:r w:rsidR="00B17F9D">
        <w:t>for the same purpose as Special Marks</w:t>
      </w:r>
      <w:r w:rsidR="00D042AA">
        <w:t>.</w:t>
      </w:r>
    </w:p>
    <w:p w:rsidR="00AD2F45" w:rsidRDefault="00D042AA" w:rsidP="000C71DA">
      <w:pPr>
        <w:pStyle w:val="Brdtekst"/>
      </w:pPr>
      <w:r>
        <w:t>Special Marks with</w:t>
      </w:r>
      <w:r w:rsidR="009E2C13">
        <w:t xml:space="preserve"> pictograms </w:t>
      </w:r>
      <w:r>
        <w:t xml:space="preserve">should ideally be portrayed in the nautical chart with </w:t>
      </w:r>
      <w:r w:rsidR="002F24BB">
        <w:t xml:space="preserve">its symbol and </w:t>
      </w:r>
      <w:r>
        <w:t xml:space="preserve">a legend </w:t>
      </w:r>
      <w:r w:rsidR="002F24BB">
        <w:t xml:space="preserve">providing the same information as </w:t>
      </w:r>
      <w:r>
        <w:t>the pictogram.</w:t>
      </w:r>
    </w:p>
    <w:p w:rsidR="00A8743C" w:rsidRDefault="009E2C13" w:rsidP="000C71DA">
      <w:pPr>
        <w:pStyle w:val="Brdtekst"/>
      </w:pPr>
      <w:r>
        <w:t>It is advised that IALA should develop</w:t>
      </w:r>
      <w:r w:rsidR="00946E21">
        <w:t xml:space="preserve"> </w:t>
      </w:r>
      <w:r w:rsidR="00683A8D">
        <w:t>a set of standard pictograms for the use with Special Marks</w:t>
      </w:r>
      <w:r w:rsidR="00AD2F45">
        <w:t>, and discuss their portrayal in the nautical charts with IHO.</w:t>
      </w:r>
    </w:p>
    <w:p w:rsidR="00A8743C" w:rsidRDefault="00AD2F45" w:rsidP="000C71DA">
      <w:pPr>
        <w:pStyle w:val="Brdtekst"/>
      </w:pPr>
      <w:r>
        <w:t>Guidance:</w:t>
      </w:r>
    </w:p>
    <w:p w:rsidR="00AD2F45" w:rsidRDefault="00AD2F45" w:rsidP="000C71DA">
      <w:pPr>
        <w:pStyle w:val="Brdtekst"/>
      </w:pPr>
      <w:r>
        <w:t>There is no specific guidance to be given at this time.</w:t>
      </w:r>
    </w:p>
    <w:p w:rsidR="008E3299" w:rsidRDefault="008E3299" w:rsidP="008E3299">
      <w:pPr>
        <w:pStyle w:val="Overskrift2"/>
      </w:pPr>
      <w:r>
        <w:t>Deployment of the EWMB</w:t>
      </w:r>
    </w:p>
    <w:p w:rsidR="008E3299" w:rsidRDefault="008E3299" w:rsidP="008E3299">
      <w:pPr>
        <w:pStyle w:val="Brdtekst"/>
      </w:pPr>
      <w:r>
        <w:t>Statement:</w:t>
      </w:r>
    </w:p>
    <w:p w:rsidR="008E3299" w:rsidRDefault="008E3299" w:rsidP="008E3299">
      <w:pPr>
        <w:pStyle w:val="Brdtekst"/>
      </w:pPr>
      <w:r>
        <w:t>“</w:t>
      </w:r>
      <w:r w:rsidRPr="00331418">
        <w:t>There is considerable support for the view that the EWMB when deployed should remain on station for as long as required.</w:t>
      </w:r>
      <w:r>
        <w:t>”</w:t>
      </w:r>
    </w:p>
    <w:p w:rsidR="008E3299" w:rsidRDefault="008E3299" w:rsidP="008E3299">
      <w:pPr>
        <w:pStyle w:val="Brdtekst"/>
      </w:pPr>
      <w:r>
        <w:t>Guidance:</w:t>
      </w:r>
    </w:p>
    <w:p w:rsidR="008E3299" w:rsidRPr="00331418" w:rsidRDefault="008E3299" w:rsidP="008E3299">
      <w:pPr>
        <w:pStyle w:val="Brdtekst"/>
      </w:pPr>
      <w:r>
        <w:t>“The EWMB should be deployed without unnecessary delay upon decision to use it for the marking of an emergency danger.</w:t>
      </w:r>
      <w:r w:rsidRPr="001730CA">
        <w:t xml:space="preserve"> </w:t>
      </w:r>
      <w:r>
        <w:t>This can for example be met by the use of EWMBs that is stored onboard vessels ready for deployment.</w:t>
      </w:r>
    </w:p>
    <w:p w:rsidR="008E3299" w:rsidRDefault="008E3299" w:rsidP="008E3299">
      <w:pPr>
        <w:pStyle w:val="Brdtekst"/>
      </w:pPr>
      <w:r>
        <w:t xml:space="preserve">The EWMB should preferably be equipped and of a size that facilitates its detection under all relevant atmospheric and oceanographic conditions. At the same time it should be taken into consideration that a smaller buoy may be more versatile than a large buoy with respect to its deployment. </w:t>
      </w:r>
    </w:p>
    <w:p w:rsidR="008E3299" w:rsidRDefault="008E3299" w:rsidP="008E3299">
      <w:pPr>
        <w:pStyle w:val="Brdtekst"/>
      </w:pPr>
      <w:bookmarkStart w:id="1" w:name="OLE_LINK1"/>
      <w:bookmarkStart w:id="2" w:name="OLE_LINK2"/>
      <w:r>
        <w:t xml:space="preserve">The EWMB is meant for response to a new danger. It should consequently only be on station until the new danger is charted and the Competent Authority is satisfied that it is resolved. </w:t>
      </w:r>
      <w:bookmarkEnd w:id="1"/>
      <w:bookmarkEnd w:id="2"/>
      <w:r>
        <w:t>If the danger is expected to remain for the foreseeable future the Competent Authority should consider marking it with a regular marking scheme.”</w:t>
      </w:r>
    </w:p>
    <w:p w:rsidR="008E3299" w:rsidRDefault="008E3299" w:rsidP="008E3299">
      <w:pPr>
        <w:rPr>
          <w:b/>
        </w:rPr>
      </w:pPr>
      <w:r>
        <w:br w:type="page"/>
      </w:r>
    </w:p>
    <w:p w:rsidR="008E3299" w:rsidRDefault="008E3299" w:rsidP="008E3299">
      <w:pPr>
        <w:pStyle w:val="Overskrift2"/>
      </w:pPr>
      <w:r>
        <w:lastRenderedPageBreak/>
        <w:t>Re-designation of the EWMB</w:t>
      </w:r>
    </w:p>
    <w:p w:rsidR="008E3299" w:rsidRDefault="008E3299" w:rsidP="008E3299">
      <w:pPr>
        <w:pStyle w:val="Brdtekst"/>
      </w:pPr>
      <w:r>
        <w:t>Statement:</w:t>
      </w:r>
    </w:p>
    <w:p w:rsidR="008E3299" w:rsidRDefault="008E3299" w:rsidP="008E3299">
      <w:pPr>
        <w:pStyle w:val="Brdtekst"/>
      </w:pPr>
      <w:r>
        <w:t>“</w:t>
      </w:r>
      <w:r w:rsidRPr="00331418">
        <w:t>There is some support that the EWMB should be re-designated as an Emergency Danger Marking Buoy.</w:t>
      </w:r>
      <w:r>
        <w:t>”</w:t>
      </w:r>
    </w:p>
    <w:p w:rsidR="008E3299" w:rsidRDefault="008E3299" w:rsidP="008E3299">
      <w:pPr>
        <w:pStyle w:val="Brdtekst"/>
      </w:pPr>
      <w:r>
        <w:t>Discussion:</w:t>
      </w:r>
    </w:p>
    <w:p w:rsidR="008E3299" w:rsidRDefault="008E3299" w:rsidP="008E3299">
      <w:pPr>
        <w:pStyle w:val="Brdtekst"/>
      </w:pPr>
      <w:r>
        <w:t>It is not within the remit of this task to consider re-designating or renaming the EWMB.</w:t>
      </w:r>
    </w:p>
    <w:p w:rsidR="008E3299" w:rsidRDefault="008E3299" w:rsidP="008E3299">
      <w:pPr>
        <w:pStyle w:val="Brdtekst"/>
      </w:pPr>
      <w:r>
        <w:t>Although the design of the EWMB was initiated following an incident comprising a manmade danger, it should be used to provide for the marking of any kind of new dangers.</w:t>
      </w:r>
    </w:p>
    <w:p w:rsidR="008E3299" w:rsidRDefault="008E3299" w:rsidP="008E3299">
      <w:pPr>
        <w:pStyle w:val="Brdtekst"/>
      </w:pPr>
      <w:r>
        <w:t>Guidance:</w:t>
      </w:r>
    </w:p>
    <w:p w:rsidR="008E3299" w:rsidRDefault="008E3299" w:rsidP="008E3299">
      <w:pPr>
        <w:pStyle w:val="Brdtekst"/>
      </w:pPr>
      <w:r>
        <w:t>“The term EWMB comprises a buoy to be used for the marking of all new dangers, where it is found to be appropriate by the C</w:t>
      </w:r>
      <w:r w:rsidR="00EA44C0">
        <w:t>ompetent</w:t>
      </w:r>
      <w:r>
        <w:t xml:space="preserve"> A</w:t>
      </w:r>
      <w:r w:rsidR="00EA44C0">
        <w:t>uthority</w:t>
      </w:r>
      <w:r>
        <w:t>.”</w:t>
      </w:r>
    </w:p>
    <w:p w:rsidR="008E3299" w:rsidRDefault="008E3299" w:rsidP="000C71DA">
      <w:pPr>
        <w:pStyle w:val="Brdtekst"/>
      </w:pPr>
    </w:p>
    <w:p w:rsidR="00491ED1" w:rsidRDefault="00491ED1" w:rsidP="00384B82">
      <w:pPr>
        <w:pStyle w:val="Overskrift2"/>
      </w:pPr>
      <w:r>
        <w:t>Inclusion of reference to existing IALA guidance in the MBS document</w:t>
      </w:r>
    </w:p>
    <w:p w:rsidR="00B6633B" w:rsidRDefault="00B6633B" w:rsidP="00491ED1">
      <w:pPr>
        <w:pStyle w:val="Brdtekst"/>
      </w:pPr>
      <w:r>
        <w:t>Sta</w:t>
      </w:r>
      <w:r w:rsidR="00800641">
        <w:t>t</w:t>
      </w:r>
      <w:r>
        <w:t>ement:</w:t>
      </w:r>
    </w:p>
    <w:p w:rsidR="00384B82" w:rsidRDefault="00B6633B" w:rsidP="00491ED1">
      <w:pPr>
        <w:pStyle w:val="Brdtekst"/>
      </w:pPr>
      <w:r>
        <w:t>“</w:t>
      </w:r>
      <w:r w:rsidR="00384B82" w:rsidRPr="00331418">
        <w:t>It is desirable that the revised MBS document makes reference to existing IALA guidance on the efficient disposition and types of buoyage.</w:t>
      </w:r>
      <w:r>
        <w:t>”</w:t>
      </w:r>
    </w:p>
    <w:p w:rsidR="00B6633B" w:rsidRDefault="00800641" w:rsidP="00491ED1">
      <w:pPr>
        <w:pStyle w:val="Brdtekst"/>
      </w:pPr>
      <w:r>
        <w:t>Discussion:</w:t>
      </w:r>
    </w:p>
    <w:p w:rsidR="00800641" w:rsidRPr="00331418" w:rsidRDefault="00800641" w:rsidP="00491ED1">
      <w:pPr>
        <w:pStyle w:val="Brdtekst"/>
      </w:pPr>
      <w:r>
        <w:t xml:space="preserve">Further guidance such as references to specific IALA </w:t>
      </w:r>
      <w:r w:rsidR="00720646">
        <w:t>R</w:t>
      </w:r>
      <w:r>
        <w:t xml:space="preserve">ecommendations and </w:t>
      </w:r>
      <w:r w:rsidR="00720646">
        <w:t xml:space="preserve">Guidelines </w:t>
      </w:r>
      <w:r w:rsidR="00AB6F36">
        <w:t>may be</w:t>
      </w:r>
      <w:r w:rsidR="00720646">
        <w:t xml:space="preserve"> given in the IALA NAVGUIDE.</w:t>
      </w:r>
    </w:p>
    <w:p w:rsidR="00491ED1" w:rsidRDefault="00491ED1" w:rsidP="00384B82">
      <w:pPr>
        <w:pStyle w:val="Overskrift2"/>
      </w:pPr>
      <w:r>
        <w:t>R</w:t>
      </w:r>
      <w:r w:rsidRPr="00331418">
        <w:t>eference to innovations and integration of new technologies</w:t>
      </w:r>
      <w:r>
        <w:t xml:space="preserve"> in the revised MBS booklet</w:t>
      </w:r>
    </w:p>
    <w:p w:rsidR="00B6633B" w:rsidRDefault="00B6633B" w:rsidP="00491ED1">
      <w:pPr>
        <w:pStyle w:val="Brdtekst"/>
      </w:pPr>
      <w:r>
        <w:t>Statement:</w:t>
      </w:r>
    </w:p>
    <w:p w:rsidR="00384B82" w:rsidRDefault="00B6633B" w:rsidP="00491ED1">
      <w:pPr>
        <w:pStyle w:val="Brdtekst"/>
      </w:pPr>
      <w:r>
        <w:t>“</w:t>
      </w:r>
      <w:r w:rsidR="00384B82" w:rsidRPr="00331418">
        <w:t xml:space="preserve">The revised MBS booklet should also make </w:t>
      </w:r>
      <w:r>
        <w:t xml:space="preserve">reference to innovations and integration of new technologies </w:t>
      </w:r>
      <w:r w:rsidR="00384B82" w:rsidRPr="00331418">
        <w:t>(such as sequential and synchronised lights, blue light</w:t>
      </w:r>
      <w:r w:rsidR="006E689B">
        <w:t xml:space="preserve">s, radio aids and AIS </w:t>
      </w:r>
      <w:r w:rsidR="00384B82" w:rsidRPr="00331418">
        <w:t>AtoN).</w:t>
      </w:r>
      <w:r>
        <w:t>”</w:t>
      </w:r>
    </w:p>
    <w:p w:rsidR="00720646" w:rsidRDefault="00720646" w:rsidP="00491ED1">
      <w:pPr>
        <w:pStyle w:val="Brdtekst"/>
      </w:pPr>
      <w:r>
        <w:t>Discussion:</w:t>
      </w:r>
    </w:p>
    <w:p w:rsidR="005D0731" w:rsidRDefault="00720646" w:rsidP="00491ED1">
      <w:pPr>
        <w:pStyle w:val="Brdtekst"/>
      </w:pPr>
      <w:r>
        <w:t xml:space="preserve">It is not within the remit of this task to make changes to the revised MBS booklet. </w:t>
      </w:r>
      <w:r w:rsidR="005D0731">
        <w:t>It should be noted that it</w:t>
      </w:r>
      <w:r>
        <w:t xml:space="preserve"> this is adopted by IMO in its present form</w:t>
      </w:r>
      <w:r w:rsidR="005D0731">
        <w:t>,</w:t>
      </w:r>
      <w:r w:rsidR="005D0731" w:rsidRPr="005D0731">
        <w:t xml:space="preserve"> </w:t>
      </w:r>
      <w:r w:rsidR="005D0731">
        <w:t xml:space="preserve">as </w:t>
      </w:r>
      <w:r w:rsidR="007529C2">
        <w:t>discussed</w:t>
      </w:r>
      <w:r w:rsidR="005D0731">
        <w:t xml:space="preserve"> above.</w:t>
      </w:r>
    </w:p>
    <w:p w:rsidR="00720646" w:rsidRDefault="00F313E1" w:rsidP="00491ED1">
      <w:pPr>
        <w:pStyle w:val="Brdtekst"/>
      </w:pPr>
      <w:r>
        <w:t xml:space="preserve">Integration of new technologies is still an option. New technologies are described in </w:t>
      </w:r>
      <w:r w:rsidR="007529C2">
        <w:t xml:space="preserve">the IALA </w:t>
      </w:r>
      <w:r>
        <w:t>NAVGUIDE chapter 4.</w:t>
      </w:r>
      <w:r w:rsidR="0008557F">
        <w:t xml:space="preserve"> This may be developed further.</w:t>
      </w:r>
    </w:p>
    <w:p w:rsidR="00491ED1" w:rsidRDefault="00491ED1" w:rsidP="00384B82">
      <w:pPr>
        <w:pStyle w:val="Overskrift2"/>
      </w:pPr>
      <w:r>
        <w:t>Wide promulgation of the information contained in the MBS booklet</w:t>
      </w:r>
    </w:p>
    <w:p w:rsidR="00B6633B" w:rsidRDefault="00B6633B" w:rsidP="005A1083">
      <w:pPr>
        <w:pStyle w:val="Brdtekst"/>
      </w:pPr>
      <w:r>
        <w:t>Statement:</w:t>
      </w:r>
    </w:p>
    <w:p w:rsidR="00384B82" w:rsidRPr="00331418" w:rsidRDefault="00B6633B" w:rsidP="005A1083">
      <w:pPr>
        <w:pStyle w:val="Brdtekst"/>
      </w:pPr>
      <w:r>
        <w:t>“</w:t>
      </w:r>
      <w:r w:rsidR="00384B82" w:rsidRPr="00331418">
        <w:t>The in</w:t>
      </w:r>
      <w:r w:rsidR="00EB5459">
        <w:t>formation contained in the MBS b</w:t>
      </w:r>
      <w:r w:rsidR="00384B82" w:rsidRPr="00331418">
        <w:t>ooklet ought to be widely promulgated so that the mariner may use it in conjunction with the appropriate nautical chart or publication and other systems.</w:t>
      </w:r>
      <w:r>
        <w:t>”</w:t>
      </w:r>
    </w:p>
    <w:p w:rsidR="00F25BF4" w:rsidRDefault="00162261" w:rsidP="00A446C9">
      <w:pPr>
        <w:pStyle w:val="Brdtekst"/>
      </w:pPr>
      <w:r>
        <w:t>Discussion:</w:t>
      </w:r>
    </w:p>
    <w:p w:rsidR="00162261" w:rsidRDefault="00DF0ED1" w:rsidP="00A446C9">
      <w:pPr>
        <w:pStyle w:val="Brdtekst"/>
      </w:pPr>
      <w:r>
        <w:t xml:space="preserve">As said in the statement the content of the MBS booklet should be widely promulgated. </w:t>
      </w:r>
      <w:r w:rsidR="00477958">
        <w:t>The booklet itself does not necessarily need to be circulated outside Aids to Navigation and similar authorities. It</w:t>
      </w:r>
      <w:r w:rsidR="00C05B9A">
        <w:t>s</w:t>
      </w:r>
      <w:r w:rsidR="00477958">
        <w:t xml:space="preserve"> </w:t>
      </w:r>
      <w:r w:rsidR="00C05B9A">
        <w:t xml:space="preserve">promulgation as applied within their area of responsibility </w:t>
      </w:r>
      <w:r w:rsidR="00477958">
        <w:t xml:space="preserve">is within the remit of </w:t>
      </w:r>
      <w:r w:rsidR="00AE09DC">
        <w:t>C</w:t>
      </w:r>
      <w:r w:rsidR="006E689B">
        <w:t>ompetent</w:t>
      </w:r>
      <w:r w:rsidR="00AE09DC">
        <w:t xml:space="preserve"> </w:t>
      </w:r>
      <w:proofErr w:type="spellStart"/>
      <w:r w:rsidR="00AE09DC">
        <w:t>A</w:t>
      </w:r>
      <w:r w:rsidR="006E689B">
        <w:t>uthorites</w:t>
      </w:r>
      <w:proofErr w:type="spellEnd"/>
      <w:r w:rsidR="00477958">
        <w:t>.</w:t>
      </w:r>
    </w:p>
    <w:p w:rsidR="00275663" w:rsidRDefault="00275663" w:rsidP="00A446C9">
      <w:pPr>
        <w:pStyle w:val="Brdtekst"/>
      </w:pPr>
      <w:r>
        <w:t>Guidance:</w:t>
      </w:r>
    </w:p>
    <w:p w:rsidR="001857B8" w:rsidRDefault="00275663" w:rsidP="00A446C9">
      <w:pPr>
        <w:pStyle w:val="Brdtekst"/>
      </w:pPr>
      <w:r>
        <w:t>T</w:t>
      </w:r>
      <w:r w:rsidR="00EB5459">
        <w:t>he IALA</w:t>
      </w:r>
      <w:r w:rsidR="00AE09DC">
        <w:t xml:space="preserve"> </w:t>
      </w:r>
      <w:r w:rsidR="001857B8">
        <w:t xml:space="preserve">MBS should be available for download from the IALA website as is the case with Recommendations and Guidelines. This is both to make it easily available to the </w:t>
      </w:r>
      <w:r w:rsidR="00AE09DC">
        <w:t>C</w:t>
      </w:r>
      <w:r w:rsidR="006E689B">
        <w:t>ompetent</w:t>
      </w:r>
      <w:r w:rsidR="00AE09DC">
        <w:t xml:space="preserve"> A</w:t>
      </w:r>
      <w:r w:rsidR="006E689B">
        <w:t>uthorities</w:t>
      </w:r>
      <w:r w:rsidR="001857B8">
        <w:t xml:space="preserve"> and to mariners or others that take a professional or special interest in it.</w:t>
      </w:r>
    </w:p>
    <w:p w:rsidR="0008557F" w:rsidRDefault="0008557F">
      <w:pPr>
        <w:rPr>
          <w:b/>
          <w:caps/>
          <w:kern w:val="28"/>
          <w:sz w:val="24"/>
          <w:lang w:eastAsia="de-DE"/>
        </w:rPr>
      </w:pPr>
      <w:r>
        <w:br w:type="page"/>
      </w:r>
    </w:p>
    <w:p w:rsidR="00A446C9" w:rsidRDefault="00A446C9" w:rsidP="00A446C9">
      <w:pPr>
        <w:pStyle w:val="Overskrift1"/>
      </w:pPr>
      <w:r>
        <w:lastRenderedPageBreak/>
        <w:t>Action requested of the Committee</w:t>
      </w:r>
    </w:p>
    <w:p w:rsidR="004D1D85" w:rsidRDefault="00F25BF4" w:rsidP="00EB5459">
      <w:pPr>
        <w:pStyle w:val="Brdtekst"/>
      </w:pPr>
      <w:r>
        <w:t>The Committee is requested to</w:t>
      </w:r>
      <w:r w:rsidR="007529C2">
        <w:t xml:space="preserve"> note this Working Paper and decide as it deems necessary.</w:t>
      </w:r>
    </w:p>
    <w:p w:rsidR="00EB5459" w:rsidRDefault="00EB5459" w:rsidP="00EB5459">
      <w:pPr>
        <w:pStyle w:val="Brdtekst"/>
      </w:pPr>
    </w:p>
    <w:p w:rsidR="00EB5459" w:rsidRPr="004D1D85" w:rsidRDefault="00EB5459" w:rsidP="00EB5459">
      <w:pPr>
        <w:pStyle w:val="Brdtekst"/>
        <w:jc w:val="center"/>
        <w:rPr>
          <w:lang w:eastAsia="en-US"/>
        </w:rPr>
      </w:pPr>
      <w:r>
        <w:t>* * *</w:t>
      </w:r>
    </w:p>
    <w:sectPr w:rsidR="00EB5459" w:rsidRPr="004D1D85" w:rsidSect="0082480E">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2978" w:rsidRDefault="003A2978" w:rsidP="00362CD9">
      <w:r>
        <w:separator/>
      </w:r>
    </w:p>
  </w:endnote>
  <w:endnote w:type="continuationSeparator" w:id="0">
    <w:p w:rsidR="003A2978" w:rsidRDefault="003A2978" w:rsidP="00362C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Bold">
    <w:charset w:val="00"/>
    <w:family w:val="auto"/>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Helvetica Black">
    <w:altName w:val="Helvetica Black"/>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2CD9" w:rsidRDefault="00362CD9">
    <w:pPr>
      <w:pStyle w:val="Bunntekst"/>
    </w:pPr>
    <w:r>
      <w:tab/>
    </w:r>
    <w:r w:rsidR="003902E6">
      <w:fldChar w:fldCharType="begin"/>
    </w:r>
    <w:r>
      <w:instrText xml:space="preserve"> PAGE   \* MERGEFORMAT </w:instrText>
    </w:r>
    <w:r w:rsidR="003902E6">
      <w:fldChar w:fldCharType="separate"/>
    </w:r>
    <w:r w:rsidR="00BE06E7">
      <w:rPr>
        <w:noProof/>
      </w:rPr>
      <w:t>1</w:t>
    </w:r>
    <w:r w:rsidR="003902E6">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2978" w:rsidRDefault="003A2978" w:rsidP="00362CD9">
      <w:r>
        <w:separator/>
      </w:r>
    </w:p>
  </w:footnote>
  <w:footnote w:type="continuationSeparator" w:id="0">
    <w:p w:rsidR="003A2978" w:rsidRDefault="003A2978" w:rsidP="00362CD9">
      <w:r>
        <w:continuationSeparator/>
      </w:r>
    </w:p>
  </w:footnote>
  <w:footnote w:id="1">
    <w:p w:rsidR="00D17788" w:rsidRPr="00D17788" w:rsidRDefault="00D17788">
      <w:pPr>
        <w:pStyle w:val="Fotnotetekst"/>
        <w:rPr>
          <w:lang w:val="nb-NO"/>
        </w:rPr>
      </w:pPr>
      <w:r>
        <w:rPr>
          <w:rStyle w:val="Fotnotereferanse"/>
        </w:rPr>
        <w:footnoteRef/>
      </w:r>
      <w:r>
        <w:t xml:space="preserve"> </w:t>
      </w:r>
      <w:r>
        <w:rPr>
          <w:lang w:val="nb-NO"/>
        </w:rPr>
        <w:t xml:space="preserve">Adopted by IMO (SN.1/Circ.297)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207" w:rsidRDefault="00850293" w:rsidP="005E262D">
    <w:pPr>
      <w:pStyle w:val="Topptekst"/>
      <w:jc w:val="right"/>
    </w:pPr>
    <w:r>
      <w:t>ANM</w:t>
    </w:r>
    <w:r w:rsidR="00C40BF7">
      <w:t>19</w:t>
    </w:r>
    <w:r w:rsidR="00A0389B">
      <w:t>/</w:t>
    </w:r>
    <w:r w:rsidR="0008557F">
      <w:t>WG2/WP5</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pStyle w:val="Overskrift1"/>
      <w:lvlText w:val="%1"/>
      <w:lvlJc w:val="left"/>
      <w:pPr>
        <w:tabs>
          <w:tab w:val="num" w:pos="567"/>
        </w:tabs>
        <w:ind w:left="567" w:hanging="567"/>
      </w:pPr>
      <w:rPr>
        <w:rFonts w:hint="default"/>
      </w:rPr>
    </w:lvl>
    <w:lvl w:ilvl="1">
      <w:start w:val="1"/>
      <w:numFmt w:val="decimal"/>
      <w:pStyle w:val="Overskrift2"/>
      <w:lvlText w:val="%1.%2"/>
      <w:lvlJc w:val="left"/>
      <w:pPr>
        <w:tabs>
          <w:tab w:val="num" w:pos="851"/>
        </w:tabs>
        <w:ind w:left="851" w:hanging="851"/>
      </w:pPr>
      <w:rPr>
        <w:rFonts w:hint="default"/>
      </w:rPr>
    </w:lvl>
    <w:lvl w:ilvl="2">
      <w:start w:val="1"/>
      <w:numFmt w:val="decimal"/>
      <w:pStyle w:val="Overskrift3"/>
      <w:lvlText w:val="%1.%2.%3"/>
      <w:lvlJc w:val="left"/>
      <w:pPr>
        <w:tabs>
          <w:tab w:val="num" w:pos="992"/>
        </w:tabs>
        <w:ind w:left="992" w:hanging="992"/>
      </w:pPr>
      <w:rPr>
        <w:rFonts w:hint="default"/>
      </w:rPr>
    </w:lvl>
    <w:lvl w:ilvl="3">
      <w:start w:val="1"/>
      <w:numFmt w:val="decimal"/>
      <w:pStyle w:val="Overskrift4"/>
      <w:lvlText w:val="%1.%2.%3.%4"/>
      <w:lvlJc w:val="left"/>
      <w:pPr>
        <w:tabs>
          <w:tab w:val="num" w:pos="1134"/>
        </w:tabs>
        <w:ind w:left="1134" w:hanging="1134"/>
      </w:pPr>
      <w:rPr>
        <w:rFonts w:hint="default"/>
      </w:rPr>
    </w:lvl>
    <w:lvl w:ilvl="4">
      <w:start w:val="1"/>
      <w:numFmt w:val="decimal"/>
      <w:pStyle w:val="Overskrift5"/>
      <w:lvlText w:val="%1.%2.%3.%4.%5"/>
      <w:lvlJc w:val="left"/>
      <w:pPr>
        <w:tabs>
          <w:tab w:val="num" w:pos="1008"/>
        </w:tabs>
        <w:ind w:left="1008" w:hanging="1008"/>
      </w:pPr>
      <w:rPr>
        <w:rFonts w:hint="default"/>
      </w:rPr>
    </w:lvl>
    <w:lvl w:ilvl="5">
      <w:start w:val="1"/>
      <w:numFmt w:val="decimal"/>
      <w:pStyle w:val="Overskrift6"/>
      <w:lvlText w:val="%1.%2.%3.%4.%5.%6"/>
      <w:lvlJc w:val="left"/>
      <w:pPr>
        <w:tabs>
          <w:tab w:val="num" w:pos="1152"/>
        </w:tabs>
        <w:ind w:left="1152" w:hanging="1152"/>
      </w:pPr>
      <w:rPr>
        <w:rFonts w:hint="default"/>
      </w:rPr>
    </w:lvl>
    <w:lvl w:ilvl="6">
      <w:start w:val="1"/>
      <w:numFmt w:val="decimal"/>
      <w:pStyle w:val="Overskrift7"/>
      <w:lvlText w:val="%1.%2.%3.%4.%5.%6.%7"/>
      <w:lvlJc w:val="left"/>
      <w:pPr>
        <w:tabs>
          <w:tab w:val="num" w:pos="1296"/>
        </w:tabs>
        <w:ind w:left="1296" w:hanging="1296"/>
      </w:pPr>
      <w:rPr>
        <w:rFonts w:hint="default"/>
      </w:rPr>
    </w:lvl>
    <w:lvl w:ilvl="7">
      <w:start w:val="1"/>
      <w:numFmt w:val="decimal"/>
      <w:pStyle w:val="Overskrift8"/>
      <w:lvlText w:val="%1.%2.%3.%4.%5.%6.%7.%8"/>
      <w:lvlJc w:val="left"/>
      <w:pPr>
        <w:tabs>
          <w:tab w:val="num" w:pos="1440"/>
        </w:tabs>
        <w:ind w:left="1440" w:hanging="1440"/>
      </w:pPr>
      <w:rPr>
        <w:rFonts w:hint="default"/>
      </w:rPr>
    </w:lvl>
    <w:lvl w:ilvl="8">
      <w:start w:val="1"/>
      <w:numFmt w:val="decimal"/>
      <w:pStyle w:val="Overskrift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kkelavsnitt"/>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2">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6">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7">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0">
    <w:nsid w:val="5DD16C30"/>
    <w:multiLevelType w:val="hybridMultilevel"/>
    <w:tmpl w:val="955A3560"/>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7BD5AF7"/>
    <w:multiLevelType w:val="hybridMultilevel"/>
    <w:tmpl w:val="0CBAA354"/>
    <w:lvl w:ilvl="0" w:tplc="04090001">
      <w:start w:val="1"/>
      <w:numFmt w:val="bullet"/>
      <w:lvlText w:val=""/>
      <w:lvlJc w:val="left"/>
      <w:pPr>
        <w:tabs>
          <w:tab w:val="num" w:pos="784"/>
        </w:tabs>
        <w:ind w:left="784" w:hanging="360"/>
      </w:pPr>
      <w:rPr>
        <w:rFonts w:ascii="Symbol" w:hAnsi="Symbol" w:hint="default"/>
      </w:rPr>
    </w:lvl>
    <w:lvl w:ilvl="1" w:tplc="08090003" w:tentative="1">
      <w:start w:val="1"/>
      <w:numFmt w:val="bullet"/>
      <w:lvlText w:val="o"/>
      <w:lvlJc w:val="left"/>
      <w:pPr>
        <w:tabs>
          <w:tab w:val="num" w:pos="1504"/>
        </w:tabs>
        <w:ind w:left="1504" w:hanging="360"/>
      </w:pPr>
      <w:rPr>
        <w:rFonts w:ascii="Courier New" w:hAnsi="Courier New" w:hint="default"/>
      </w:rPr>
    </w:lvl>
    <w:lvl w:ilvl="2" w:tplc="08090005" w:tentative="1">
      <w:start w:val="1"/>
      <w:numFmt w:val="bullet"/>
      <w:lvlText w:val=""/>
      <w:lvlJc w:val="left"/>
      <w:pPr>
        <w:tabs>
          <w:tab w:val="num" w:pos="2224"/>
        </w:tabs>
        <w:ind w:left="2224" w:hanging="360"/>
      </w:pPr>
      <w:rPr>
        <w:rFonts w:ascii="Wingdings" w:hAnsi="Wingdings" w:hint="default"/>
      </w:rPr>
    </w:lvl>
    <w:lvl w:ilvl="3" w:tplc="08090001" w:tentative="1">
      <w:start w:val="1"/>
      <w:numFmt w:val="bullet"/>
      <w:lvlText w:val=""/>
      <w:lvlJc w:val="left"/>
      <w:pPr>
        <w:tabs>
          <w:tab w:val="num" w:pos="2944"/>
        </w:tabs>
        <w:ind w:left="2944" w:hanging="360"/>
      </w:pPr>
      <w:rPr>
        <w:rFonts w:ascii="Symbol" w:hAnsi="Symbol" w:hint="default"/>
      </w:rPr>
    </w:lvl>
    <w:lvl w:ilvl="4" w:tplc="08090003" w:tentative="1">
      <w:start w:val="1"/>
      <w:numFmt w:val="bullet"/>
      <w:lvlText w:val="o"/>
      <w:lvlJc w:val="left"/>
      <w:pPr>
        <w:tabs>
          <w:tab w:val="num" w:pos="3664"/>
        </w:tabs>
        <w:ind w:left="3664" w:hanging="360"/>
      </w:pPr>
      <w:rPr>
        <w:rFonts w:ascii="Courier New" w:hAnsi="Courier New" w:hint="default"/>
      </w:rPr>
    </w:lvl>
    <w:lvl w:ilvl="5" w:tplc="08090005" w:tentative="1">
      <w:start w:val="1"/>
      <w:numFmt w:val="bullet"/>
      <w:lvlText w:val=""/>
      <w:lvlJc w:val="left"/>
      <w:pPr>
        <w:tabs>
          <w:tab w:val="num" w:pos="4384"/>
        </w:tabs>
        <w:ind w:left="4384" w:hanging="360"/>
      </w:pPr>
      <w:rPr>
        <w:rFonts w:ascii="Wingdings" w:hAnsi="Wingdings" w:hint="default"/>
      </w:rPr>
    </w:lvl>
    <w:lvl w:ilvl="6" w:tplc="08090001" w:tentative="1">
      <w:start w:val="1"/>
      <w:numFmt w:val="bullet"/>
      <w:lvlText w:val=""/>
      <w:lvlJc w:val="left"/>
      <w:pPr>
        <w:tabs>
          <w:tab w:val="num" w:pos="5104"/>
        </w:tabs>
        <w:ind w:left="5104" w:hanging="360"/>
      </w:pPr>
      <w:rPr>
        <w:rFonts w:ascii="Symbol" w:hAnsi="Symbol" w:hint="default"/>
      </w:rPr>
    </w:lvl>
    <w:lvl w:ilvl="7" w:tplc="08090003" w:tentative="1">
      <w:start w:val="1"/>
      <w:numFmt w:val="bullet"/>
      <w:lvlText w:val="o"/>
      <w:lvlJc w:val="left"/>
      <w:pPr>
        <w:tabs>
          <w:tab w:val="num" w:pos="5824"/>
        </w:tabs>
        <w:ind w:left="5824" w:hanging="360"/>
      </w:pPr>
      <w:rPr>
        <w:rFonts w:ascii="Courier New" w:hAnsi="Courier New" w:hint="default"/>
      </w:rPr>
    </w:lvl>
    <w:lvl w:ilvl="8" w:tplc="08090005" w:tentative="1">
      <w:start w:val="1"/>
      <w:numFmt w:val="bullet"/>
      <w:lvlText w:val=""/>
      <w:lvlJc w:val="left"/>
      <w:pPr>
        <w:tabs>
          <w:tab w:val="num" w:pos="6544"/>
        </w:tabs>
        <w:ind w:left="6544" w:hanging="360"/>
      </w:pPr>
      <w:rPr>
        <w:rFonts w:ascii="Wingdings" w:hAnsi="Wingdings" w:hint="default"/>
      </w:rPr>
    </w:lvl>
  </w:abstractNum>
  <w:abstractNum w:abstractNumId="25">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4"/>
  </w:num>
  <w:num w:numId="6">
    <w:abstractNumId w:val="4"/>
  </w:num>
  <w:num w:numId="7">
    <w:abstractNumId w:val="23"/>
  </w:num>
  <w:num w:numId="8">
    <w:abstractNumId w:val="10"/>
  </w:num>
  <w:num w:numId="9">
    <w:abstractNumId w:val="8"/>
  </w:num>
  <w:num w:numId="10">
    <w:abstractNumId w:val="16"/>
  </w:num>
  <w:num w:numId="11">
    <w:abstractNumId w:val="15"/>
  </w:num>
  <w:num w:numId="12">
    <w:abstractNumId w:val="13"/>
  </w:num>
  <w:num w:numId="13">
    <w:abstractNumId w:val="22"/>
  </w:num>
  <w:num w:numId="14">
    <w:abstractNumId w:val="5"/>
  </w:num>
  <w:num w:numId="15">
    <w:abstractNumId w:val="25"/>
  </w:num>
  <w:num w:numId="16">
    <w:abstractNumId w:val="12"/>
  </w:num>
  <w:num w:numId="17">
    <w:abstractNumId w:val="6"/>
  </w:num>
  <w:num w:numId="18">
    <w:abstractNumId w:val="18"/>
  </w:num>
  <w:num w:numId="19">
    <w:abstractNumId w:val="12"/>
  </w:num>
  <w:num w:numId="20">
    <w:abstractNumId w:val="12"/>
  </w:num>
  <w:num w:numId="21">
    <w:abstractNumId w:val="12"/>
  </w:num>
  <w:num w:numId="22">
    <w:abstractNumId w:val="12"/>
  </w:num>
  <w:num w:numId="23">
    <w:abstractNumId w:val="19"/>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7"/>
  </w:num>
  <w:num w:numId="34">
    <w:abstractNumId w:val="17"/>
  </w:num>
  <w:num w:numId="35">
    <w:abstractNumId w:val="17"/>
  </w:num>
  <w:num w:numId="36">
    <w:abstractNumId w:val="11"/>
  </w:num>
  <w:num w:numId="37">
    <w:abstractNumId w:val="5"/>
  </w:num>
  <w:num w:numId="38">
    <w:abstractNumId w:val="13"/>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num>
  <w:num w:numId="44">
    <w:abstractNumId w:val="24"/>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40962"/>
  </w:hdrShapeDefaults>
  <w:footnotePr>
    <w:footnote w:id="-1"/>
    <w:footnote w:id="0"/>
  </w:footnotePr>
  <w:endnotePr>
    <w:endnote w:id="-1"/>
    <w:endnote w:id="0"/>
  </w:endnotePr>
  <w:compat/>
  <w:rsids>
    <w:rsidRoot w:val="00C40BF7"/>
    <w:rsid w:val="000005D3"/>
    <w:rsid w:val="000058F9"/>
    <w:rsid w:val="00006AED"/>
    <w:rsid w:val="00023B23"/>
    <w:rsid w:val="00031EAD"/>
    <w:rsid w:val="000322F7"/>
    <w:rsid w:val="00034A98"/>
    <w:rsid w:val="00034DA7"/>
    <w:rsid w:val="0004700E"/>
    <w:rsid w:val="00070C13"/>
    <w:rsid w:val="00084F33"/>
    <w:rsid w:val="0008557F"/>
    <w:rsid w:val="000A77A7"/>
    <w:rsid w:val="000C1B3E"/>
    <w:rsid w:val="000C71DA"/>
    <w:rsid w:val="00101E52"/>
    <w:rsid w:val="00162261"/>
    <w:rsid w:val="00170B28"/>
    <w:rsid w:val="001730CA"/>
    <w:rsid w:val="00177F4D"/>
    <w:rsid w:val="00180DDA"/>
    <w:rsid w:val="001857B8"/>
    <w:rsid w:val="001B2117"/>
    <w:rsid w:val="001B2A2D"/>
    <w:rsid w:val="001B42F9"/>
    <w:rsid w:val="001B6C2D"/>
    <w:rsid w:val="001B737D"/>
    <w:rsid w:val="001C44A3"/>
    <w:rsid w:val="001D0994"/>
    <w:rsid w:val="001D2F2C"/>
    <w:rsid w:val="001D4B01"/>
    <w:rsid w:val="001E61F5"/>
    <w:rsid w:val="001F42E9"/>
    <w:rsid w:val="001F528A"/>
    <w:rsid w:val="001F704E"/>
    <w:rsid w:val="00201D3A"/>
    <w:rsid w:val="002125B0"/>
    <w:rsid w:val="00217C58"/>
    <w:rsid w:val="00243228"/>
    <w:rsid w:val="00247567"/>
    <w:rsid w:val="00251483"/>
    <w:rsid w:val="00255CAA"/>
    <w:rsid w:val="0026152E"/>
    <w:rsid w:val="00264305"/>
    <w:rsid w:val="00271027"/>
    <w:rsid w:val="00273FB2"/>
    <w:rsid w:val="00275663"/>
    <w:rsid w:val="00283A54"/>
    <w:rsid w:val="00284E9A"/>
    <w:rsid w:val="00290071"/>
    <w:rsid w:val="002A0346"/>
    <w:rsid w:val="002A4487"/>
    <w:rsid w:val="002A4E2F"/>
    <w:rsid w:val="002B24E6"/>
    <w:rsid w:val="002D3E8B"/>
    <w:rsid w:val="002D4575"/>
    <w:rsid w:val="002D5C0C"/>
    <w:rsid w:val="002D782D"/>
    <w:rsid w:val="002E6B74"/>
    <w:rsid w:val="002F24BB"/>
    <w:rsid w:val="003154BE"/>
    <w:rsid w:val="00337F62"/>
    <w:rsid w:val="00356CD0"/>
    <w:rsid w:val="00362CD9"/>
    <w:rsid w:val="00370B50"/>
    <w:rsid w:val="003761CA"/>
    <w:rsid w:val="00380DAF"/>
    <w:rsid w:val="00384B82"/>
    <w:rsid w:val="003902E6"/>
    <w:rsid w:val="003A2978"/>
    <w:rsid w:val="003B1BAA"/>
    <w:rsid w:val="003B28F5"/>
    <w:rsid w:val="003B7B7D"/>
    <w:rsid w:val="003C7A2A"/>
    <w:rsid w:val="003D4D57"/>
    <w:rsid w:val="003D62A2"/>
    <w:rsid w:val="003D69D0"/>
    <w:rsid w:val="003E2078"/>
    <w:rsid w:val="003F0E8A"/>
    <w:rsid w:val="003F2918"/>
    <w:rsid w:val="003F430E"/>
    <w:rsid w:val="003F48EB"/>
    <w:rsid w:val="00402448"/>
    <w:rsid w:val="00414BAF"/>
    <w:rsid w:val="004238EB"/>
    <w:rsid w:val="004661AD"/>
    <w:rsid w:val="00471104"/>
    <w:rsid w:val="00477958"/>
    <w:rsid w:val="00491ED1"/>
    <w:rsid w:val="004D1D85"/>
    <w:rsid w:val="004D3C3A"/>
    <w:rsid w:val="004E41C6"/>
    <w:rsid w:val="004F55E9"/>
    <w:rsid w:val="00504EC4"/>
    <w:rsid w:val="005107EB"/>
    <w:rsid w:val="00516E66"/>
    <w:rsid w:val="00521345"/>
    <w:rsid w:val="005229A7"/>
    <w:rsid w:val="00526DF0"/>
    <w:rsid w:val="00545CC4"/>
    <w:rsid w:val="00551FFF"/>
    <w:rsid w:val="005607A2"/>
    <w:rsid w:val="0057198B"/>
    <w:rsid w:val="005A1083"/>
    <w:rsid w:val="005A322A"/>
    <w:rsid w:val="005B189A"/>
    <w:rsid w:val="005B32A3"/>
    <w:rsid w:val="005C566C"/>
    <w:rsid w:val="005C7E69"/>
    <w:rsid w:val="005D0731"/>
    <w:rsid w:val="005D4F14"/>
    <w:rsid w:val="005E017F"/>
    <w:rsid w:val="005E262D"/>
    <w:rsid w:val="005F7E20"/>
    <w:rsid w:val="0062103F"/>
    <w:rsid w:val="0063283D"/>
    <w:rsid w:val="00632D89"/>
    <w:rsid w:val="0063334A"/>
    <w:rsid w:val="006652C3"/>
    <w:rsid w:val="00681898"/>
    <w:rsid w:val="00683A8D"/>
    <w:rsid w:val="00691FD0"/>
    <w:rsid w:val="006B7DA3"/>
    <w:rsid w:val="006C18F9"/>
    <w:rsid w:val="006C5948"/>
    <w:rsid w:val="006E689B"/>
    <w:rsid w:val="006F1AB9"/>
    <w:rsid w:val="006F2A74"/>
    <w:rsid w:val="006F6B6E"/>
    <w:rsid w:val="0070699B"/>
    <w:rsid w:val="007118F5"/>
    <w:rsid w:val="00712AA4"/>
    <w:rsid w:val="0071324F"/>
    <w:rsid w:val="00715225"/>
    <w:rsid w:val="00720646"/>
    <w:rsid w:val="00721AA1"/>
    <w:rsid w:val="0072506A"/>
    <w:rsid w:val="00746281"/>
    <w:rsid w:val="007529C2"/>
    <w:rsid w:val="007547F8"/>
    <w:rsid w:val="00765622"/>
    <w:rsid w:val="00770B6C"/>
    <w:rsid w:val="00771BFB"/>
    <w:rsid w:val="00783FEA"/>
    <w:rsid w:val="007A503E"/>
    <w:rsid w:val="007B0F70"/>
    <w:rsid w:val="007B4A50"/>
    <w:rsid w:val="007B5FCE"/>
    <w:rsid w:val="00800641"/>
    <w:rsid w:val="008154B9"/>
    <w:rsid w:val="00823193"/>
    <w:rsid w:val="0082480E"/>
    <w:rsid w:val="00842DD8"/>
    <w:rsid w:val="00850293"/>
    <w:rsid w:val="00851373"/>
    <w:rsid w:val="00851BA6"/>
    <w:rsid w:val="0085654D"/>
    <w:rsid w:val="00861160"/>
    <w:rsid w:val="00863B25"/>
    <w:rsid w:val="008938AB"/>
    <w:rsid w:val="00893953"/>
    <w:rsid w:val="00895219"/>
    <w:rsid w:val="008A176B"/>
    <w:rsid w:val="008A4653"/>
    <w:rsid w:val="008A50CC"/>
    <w:rsid w:val="008D1694"/>
    <w:rsid w:val="008D45DF"/>
    <w:rsid w:val="008D79CB"/>
    <w:rsid w:val="008E3299"/>
    <w:rsid w:val="008F07BC"/>
    <w:rsid w:val="0092692B"/>
    <w:rsid w:val="00935D5B"/>
    <w:rsid w:val="00943E9C"/>
    <w:rsid w:val="00946E21"/>
    <w:rsid w:val="00953F4D"/>
    <w:rsid w:val="00960BB8"/>
    <w:rsid w:val="00964F5C"/>
    <w:rsid w:val="00965433"/>
    <w:rsid w:val="00994ECF"/>
    <w:rsid w:val="009A14F0"/>
    <w:rsid w:val="009B140A"/>
    <w:rsid w:val="009B2085"/>
    <w:rsid w:val="009D2602"/>
    <w:rsid w:val="009D328F"/>
    <w:rsid w:val="009E2A23"/>
    <w:rsid w:val="009E2C13"/>
    <w:rsid w:val="009F0E7F"/>
    <w:rsid w:val="00A018FE"/>
    <w:rsid w:val="00A0389B"/>
    <w:rsid w:val="00A236FD"/>
    <w:rsid w:val="00A30829"/>
    <w:rsid w:val="00A34BAD"/>
    <w:rsid w:val="00A446C9"/>
    <w:rsid w:val="00A447E9"/>
    <w:rsid w:val="00A52330"/>
    <w:rsid w:val="00A635D6"/>
    <w:rsid w:val="00A8335C"/>
    <w:rsid w:val="00A8553A"/>
    <w:rsid w:val="00A8743C"/>
    <w:rsid w:val="00A93AED"/>
    <w:rsid w:val="00AB4D05"/>
    <w:rsid w:val="00AB6F36"/>
    <w:rsid w:val="00AC0732"/>
    <w:rsid w:val="00AC7953"/>
    <w:rsid w:val="00AD2F45"/>
    <w:rsid w:val="00AE0243"/>
    <w:rsid w:val="00AE09DC"/>
    <w:rsid w:val="00B17E0B"/>
    <w:rsid w:val="00B17F9D"/>
    <w:rsid w:val="00B226F2"/>
    <w:rsid w:val="00B274DF"/>
    <w:rsid w:val="00B56BDF"/>
    <w:rsid w:val="00B64291"/>
    <w:rsid w:val="00B6633B"/>
    <w:rsid w:val="00B85CD6"/>
    <w:rsid w:val="00B90A27"/>
    <w:rsid w:val="00B9554D"/>
    <w:rsid w:val="00B9631F"/>
    <w:rsid w:val="00BB2B9F"/>
    <w:rsid w:val="00BC3223"/>
    <w:rsid w:val="00BD3CB8"/>
    <w:rsid w:val="00BD4E6F"/>
    <w:rsid w:val="00BD790B"/>
    <w:rsid w:val="00BE06E7"/>
    <w:rsid w:val="00BE0B92"/>
    <w:rsid w:val="00BF4DCE"/>
    <w:rsid w:val="00C05B9A"/>
    <w:rsid w:val="00C05CE5"/>
    <w:rsid w:val="00C40BF7"/>
    <w:rsid w:val="00C42F9C"/>
    <w:rsid w:val="00C500A4"/>
    <w:rsid w:val="00C6171E"/>
    <w:rsid w:val="00C760C9"/>
    <w:rsid w:val="00CA5507"/>
    <w:rsid w:val="00CA6F2C"/>
    <w:rsid w:val="00CD099B"/>
    <w:rsid w:val="00CF1871"/>
    <w:rsid w:val="00CF5946"/>
    <w:rsid w:val="00D01753"/>
    <w:rsid w:val="00D042AA"/>
    <w:rsid w:val="00D079A8"/>
    <w:rsid w:val="00D1133E"/>
    <w:rsid w:val="00D17788"/>
    <w:rsid w:val="00D17A34"/>
    <w:rsid w:val="00D26628"/>
    <w:rsid w:val="00D332B3"/>
    <w:rsid w:val="00D50122"/>
    <w:rsid w:val="00D55207"/>
    <w:rsid w:val="00D92B45"/>
    <w:rsid w:val="00D95962"/>
    <w:rsid w:val="00D97577"/>
    <w:rsid w:val="00DB797C"/>
    <w:rsid w:val="00DC389B"/>
    <w:rsid w:val="00DE2FEE"/>
    <w:rsid w:val="00DF0ED1"/>
    <w:rsid w:val="00DF0F40"/>
    <w:rsid w:val="00E00BE9"/>
    <w:rsid w:val="00E1335F"/>
    <w:rsid w:val="00E14983"/>
    <w:rsid w:val="00E22A11"/>
    <w:rsid w:val="00E55927"/>
    <w:rsid w:val="00E76425"/>
    <w:rsid w:val="00E912A6"/>
    <w:rsid w:val="00EA44C0"/>
    <w:rsid w:val="00EA4844"/>
    <w:rsid w:val="00EA4D9C"/>
    <w:rsid w:val="00EB1AFE"/>
    <w:rsid w:val="00EB5459"/>
    <w:rsid w:val="00EB75EE"/>
    <w:rsid w:val="00EB7C44"/>
    <w:rsid w:val="00EE4443"/>
    <w:rsid w:val="00EE4C1D"/>
    <w:rsid w:val="00EE4FD9"/>
    <w:rsid w:val="00EF168A"/>
    <w:rsid w:val="00EF3685"/>
    <w:rsid w:val="00F159EB"/>
    <w:rsid w:val="00F231C1"/>
    <w:rsid w:val="00F256D8"/>
    <w:rsid w:val="00F25BF4"/>
    <w:rsid w:val="00F25FBC"/>
    <w:rsid w:val="00F267DB"/>
    <w:rsid w:val="00F313E1"/>
    <w:rsid w:val="00F43EDA"/>
    <w:rsid w:val="00F46F6F"/>
    <w:rsid w:val="00F53A20"/>
    <w:rsid w:val="00F60608"/>
    <w:rsid w:val="00F62217"/>
    <w:rsid w:val="00F703D4"/>
    <w:rsid w:val="00F76452"/>
    <w:rsid w:val="00F959FA"/>
    <w:rsid w:val="00F960C4"/>
    <w:rsid w:val="00FA4D15"/>
    <w:rsid w:val="00FB17A9"/>
    <w:rsid w:val="00FB6F75"/>
    <w:rsid w:val="00FC0EB3"/>
    <w:rsid w:val="00FC52EE"/>
    <w:rsid w:val="00FD3D98"/>
  </w:rsids>
  <m:mathPr>
    <m:mathFont m:val="Cambria Math"/>
    <m:brkBin m:val="before"/>
    <m:brkBinSub m:val="--"/>
    <m:smallFrac m:val="off"/>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Overskrift1">
    <w:name w:val="heading 1"/>
    <w:basedOn w:val="Normal"/>
    <w:next w:val="Brdtekst"/>
    <w:link w:val="Overskrift1Tegn"/>
    <w:qFormat/>
    <w:rsid w:val="00D332B3"/>
    <w:pPr>
      <w:keepNext/>
      <w:numPr>
        <w:numId w:val="37"/>
      </w:numPr>
      <w:spacing w:before="240" w:after="240"/>
      <w:outlineLvl w:val="0"/>
    </w:pPr>
    <w:rPr>
      <w:b/>
      <w:caps/>
      <w:kern w:val="28"/>
      <w:sz w:val="24"/>
      <w:lang w:eastAsia="de-DE"/>
    </w:rPr>
  </w:style>
  <w:style w:type="paragraph" w:styleId="Overskrift2">
    <w:name w:val="heading 2"/>
    <w:basedOn w:val="Normal"/>
    <w:next w:val="Brdtekst"/>
    <w:link w:val="Overskrift2Tegn"/>
    <w:qFormat/>
    <w:rsid w:val="00D332B3"/>
    <w:pPr>
      <w:numPr>
        <w:ilvl w:val="1"/>
        <w:numId w:val="37"/>
      </w:numPr>
      <w:spacing w:before="120" w:after="120"/>
      <w:outlineLvl w:val="1"/>
    </w:pPr>
    <w:rPr>
      <w:b/>
    </w:rPr>
  </w:style>
  <w:style w:type="paragraph" w:styleId="Overskrift3">
    <w:name w:val="heading 3"/>
    <w:basedOn w:val="Normal"/>
    <w:next w:val="Brdtekst"/>
    <w:link w:val="Overskrift3Tegn"/>
    <w:qFormat/>
    <w:rsid w:val="00D332B3"/>
    <w:pPr>
      <w:keepNext/>
      <w:numPr>
        <w:ilvl w:val="2"/>
        <w:numId w:val="37"/>
      </w:numPr>
      <w:spacing w:before="120" w:after="120"/>
      <w:outlineLvl w:val="2"/>
    </w:pPr>
    <w:rPr>
      <w:szCs w:val="20"/>
      <w:lang w:eastAsia="de-DE"/>
    </w:rPr>
  </w:style>
  <w:style w:type="paragraph" w:styleId="Overskrift4">
    <w:name w:val="heading 4"/>
    <w:basedOn w:val="Normal"/>
    <w:next w:val="Brdtekstinnrykk"/>
    <w:link w:val="Overskrift4Tegn"/>
    <w:rsid w:val="00D332B3"/>
    <w:pPr>
      <w:keepNext/>
      <w:numPr>
        <w:ilvl w:val="3"/>
        <w:numId w:val="37"/>
      </w:numPr>
      <w:spacing w:before="120" w:after="120"/>
      <w:outlineLvl w:val="3"/>
    </w:pPr>
    <w:rPr>
      <w:szCs w:val="20"/>
      <w:lang w:val="en-US" w:eastAsia="de-DE"/>
    </w:rPr>
  </w:style>
  <w:style w:type="paragraph" w:styleId="Overskrift5">
    <w:name w:val="heading 5"/>
    <w:basedOn w:val="Normal"/>
    <w:next w:val="Normal"/>
    <w:link w:val="Overskrift5Tegn"/>
    <w:rsid w:val="00D332B3"/>
    <w:pPr>
      <w:numPr>
        <w:ilvl w:val="4"/>
        <w:numId w:val="37"/>
      </w:numPr>
      <w:spacing w:before="240" w:after="120"/>
      <w:outlineLvl w:val="4"/>
    </w:pPr>
    <w:rPr>
      <w:rFonts w:eastAsia="Times New Roman" w:cs="Times New Roman"/>
      <w:szCs w:val="20"/>
      <w:lang w:val="de-DE" w:eastAsia="de-DE"/>
    </w:rPr>
  </w:style>
  <w:style w:type="paragraph" w:styleId="Overskrift6">
    <w:name w:val="heading 6"/>
    <w:basedOn w:val="Normal"/>
    <w:next w:val="Brdtekstinnrykk2"/>
    <w:link w:val="Overskrift6Tegn"/>
    <w:rsid w:val="00D332B3"/>
    <w:pPr>
      <w:numPr>
        <w:ilvl w:val="5"/>
        <w:numId w:val="37"/>
      </w:numPr>
      <w:tabs>
        <w:tab w:val="left" w:pos="1418"/>
      </w:tabs>
      <w:spacing w:before="120" w:after="120"/>
      <w:outlineLvl w:val="5"/>
    </w:pPr>
    <w:rPr>
      <w:szCs w:val="20"/>
      <w:lang w:val="de-DE" w:eastAsia="de-DE"/>
    </w:rPr>
  </w:style>
  <w:style w:type="paragraph" w:styleId="Overskrift7">
    <w:name w:val="heading 7"/>
    <w:basedOn w:val="Normal"/>
    <w:next w:val="Brdtekstinnrykk2"/>
    <w:link w:val="Overskrift7Tegn"/>
    <w:rsid w:val="00D332B3"/>
    <w:pPr>
      <w:numPr>
        <w:ilvl w:val="6"/>
        <w:numId w:val="37"/>
      </w:numPr>
      <w:tabs>
        <w:tab w:val="left" w:pos="1701"/>
      </w:tabs>
      <w:spacing w:before="120" w:after="120"/>
      <w:outlineLvl w:val="6"/>
    </w:pPr>
    <w:rPr>
      <w:szCs w:val="20"/>
      <w:lang w:val="de-DE" w:eastAsia="de-DE"/>
    </w:rPr>
  </w:style>
  <w:style w:type="paragraph" w:styleId="Overskrift8">
    <w:name w:val="heading 8"/>
    <w:basedOn w:val="Normal"/>
    <w:next w:val="Brdtekstinnrykk2"/>
    <w:link w:val="Overskrift8Tegn"/>
    <w:rsid w:val="00D332B3"/>
    <w:pPr>
      <w:numPr>
        <w:ilvl w:val="7"/>
        <w:numId w:val="37"/>
      </w:numPr>
      <w:tabs>
        <w:tab w:val="left" w:pos="1985"/>
      </w:tabs>
      <w:spacing w:before="120" w:after="120"/>
      <w:outlineLvl w:val="7"/>
    </w:pPr>
    <w:rPr>
      <w:szCs w:val="20"/>
      <w:lang w:val="de-DE" w:eastAsia="de-DE"/>
    </w:rPr>
  </w:style>
  <w:style w:type="paragraph" w:styleId="Overskrift9">
    <w:name w:val="heading 9"/>
    <w:basedOn w:val="Normal"/>
    <w:next w:val="Brdtekstinnrykk2"/>
    <w:link w:val="Overskrift9Tegn"/>
    <w:rsid w:val="00D332B3"/>
    <w:pPr>
      <w:numPr>
        <w:ilvl w:val="8"/>
        <w:numId w:val="37"/>
      </w:numPr>
      <w:tabs>
        <w:tab w:val="left" w:pos="2268"/>
      </w:tabs>
      <w:spacing w:before="120" w:after="120"/>
      <w:outlineLvl w:val="8"/>
    </w:pPr>
    <w:rPr>
      <w:szCs w:val="20"/>
      <w:lang w:val="de-DE" w:eastAsia="de-DE"/>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link w:val="Overskrift1"/>
    <w:rsid w:val="0085654D"/>
    <w:rPr>
      <w:rFonts w:ascii="Arial" w:hAnsi="Arial" w:cs="Calibri"/>
      <w:b/>
      <w:caps/>
      <w:kern w:val="28"/>
      <w:sz w:val="24"/>
      <w:lang w:eastAsia="de-DE"/>
    </w:rPr>
  </w:style>
  <w:style w:type="character" w:customStyle="1" w:styleId="Overskrift2Tegn">
    <w:name w:val="Overskrift 2 Tegn"/>
    <w:link w:val="Overskrift2"/>
    <w:rsid w:val="00E00BE9"/>
    <w:rPr>
      <w:rFonts w:ascii="Arial" w:hAnsi="Arial" w:cs="Calibri"/>
      <w:b/>
      <w:lang w:eastAsia="en-GB"/>
    </w:rPr>
  </w:style>
  <w:style w:type="paragraph" w:customStyle="1" w:styleId="Annex">
    <w:name w:val="Annex"/>
    <w:basedOn w:val="Overskrift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rdtekst"/>
    <w:rsid w:val="008D1694"/>
    <w:pPr>
      <w:numPr>
        <w:numId w:val="6"/>
      </w:numPr>
      <w:spacing w:before="120" w:after="120"/>
    </w:pPr>
    <w:rPr>
      <w:rFonts w:cs="Arial"/>
      <w:b/>
      <w:caps/>
      <w:sz w:val="24"/>
    </w:rPr>
  </w:style>
  <w:style w:type="paragraph" w:customStyle="1" w:styleId="AnnexHeading2">
    <w:name w:val="Annex Heading 2"/>
    <w:basedOn w:val="Normal"/>
    <w:next w:val="Brdteks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rdteks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rdtekst">
    <w:name w:val="Body Text"/>
    <w:basedOn w:val="Normal"/>
    <w:link w:val="BrdtekstTegn"/>
    <w:qFormat/>
    <w:rsid w:val="008D1694"/>
    <w:pPr>
      <w:spacing w:after="120"/>
      <w:jc w:val="both"/>
    </w:pPr>
  </w:style>
  <w:style w:type="character" w:customStyle="1" w:styleId="BrdtekstTegn">
    <w:name w:val="Brødtekst Tegn"/>
    <w:link w:val="Brdteks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Bunntekst">
    <w:name w:val="footer"/>
    <w:basedOn w:val="Normal"/>
    <w:link w:val="BunntekstTegn"/>
    <w:rsid w:val="008D1694"/>
    <w:pPr>
      <w:tabs>
        <w:tab w:val="center" w:pos="4820"/>
        <w:tab w:val="right" w:pos="9639"/>
      </w:tabs>
    </w:pPr>
  </w:style>
  <w:style w:type="character" w:customStyle="1" w:styleId="BunntekstTegn">
    <w:name w:val="Bunntekst Tegn"/>
    <w:link w:val="Bunntekst"/>
    <w:rsid w:val="00084F33"/>
    <w:rPr>
      <w:rFonts w:ascii="Arial" w:hAnsi="Arial" w:cs="Times New Roman"/>
      <w:szCs w:val="24"/>
    </w:rPr>
  </w:style>
  <w:style w:type="paragraph" w:styleId="Topptekst">
    <w:name w:val="header"/>
    <w:basedOn w:val="Normal"/>
    <w:link w:val="TopptekstTegn"/>
    <w:rsid w:val="008D1694"/>
    <w:pPr>
      <w:tabs>
        <w:tab w:val="center" w:pos="4820"/>
        <w:tab w:val="right" w:pos="9639"/>
      </w:tabs>
    </w:pPr>
  </w:style>
  <w:style w:type="character" w:customStyle="1" w:styleId="TopptekstTegn">
    <w:name w:val="Topptekst Tegn"/>
    <w:link w:val="Topptekst"/>
    <w:rsid w:val="005C566C"/>
    <w:rPr>
      <w:rFonts w:ascii="Arial" w:eastAsia="Calibri" w:hAnsi="Arial" w:cs="Times New Roman"/>
      <w:szCs w:val="24"/>
      <w:lang w:eastAsia="en-GB"/>
    </w:rPr>
  </w:style>
  <w:style w:type="character" w:customStyle="1" w:styleId="Overskrift3Tegn">
    <w:name w:val="Overskrift 3 Tegn"/>
    <w:link w:val="Overskrift3"/>
    <w:rsid w:val="00E00BE9"/>
    <w:rPr>
      <w:rFonts w:ascii="Arial" w:hAnsi="Arial" w:cs="Calibri"/>
      <w:szCs w:val="20"/>
      <w:lang w:eastAsia="de-DE"/>
    </w:rPr>
  </w:style>
  <w:style w:type="character" w:customStyle="1" w:styleId="Overskrift4Tegn">
    <w:name w:val="Overskrift 4 Tegn"/>
    <w:link w:val="Overskrift4"/>
    <w:rsid w:val="00E00BE9"/>
    <w:rPr>
      <w:rFonts w:ascii="Arial" w:hAnsi="Arial" w:cs="Calibri"/>
      <w:szCs w:val="20"/>
      <w:lang w:val="en-US" w:eastAsia="de-DE"/>
    </w:rPr>
  </w:style>
  <w:style w:type="character" w:customStyle="1" w:styleId="Overskrift5Tegn">
    <w:name w:val="Overskrift 5 Tegn"/>
    <w:link w:val="Overskrift5"/>
    <w:rsid w:val="00D332B3"/>
    <w:rPr>
      <w:rFonts w:ascii="Arial" w:eastAsia="Times New Roman" w:hAnsi="Arial" w:cs="Times New Roman"/>
      <w:szCs w:val="20"/>
      <w:lang w:val="de-DE" w:eastAsia="de-DE"/>
    </w:rPr>
  </w:style>
  <w:style w:type="character" w:customStyle="1" w:styleId="Overskrift6Tegn">
    <w:name w:val="Overskrift 6 Tegn"/>
    <w:link w:val="Overskrift6"/>
    <w:rsid w:val="00E00BE9"/>
    <w:rPr>
      <w:rFonts w:ascii="Arial" w:hAnsi="Arial" w:cs="Calibri"/>
      <w:szCs w:val="20"/>
      <w:lang w:val="de-DE" w:eastAsia="de-DE"/>
    </w:rPr>
  </w:style>
  <w:style w:type="character" w:customStyle="1" w:styleId="Overskrift7Tegn">
    <w:name w:val="Overskrift 7 Tegn"/>
    <w:link w:val="Overskrift7"/>
    <w:rsid w:val="00E00BE9"/>
    <w:rPr>
      <w:rFonts w:ascii="Arial" w:hAnsi="Arial" w:cs="Calibri"/>
      <w:szCs w:val="20"/>
      <w:lang w:val="de-DE" w:eastAsia="de-DE"/>
    </w:rPr>
  </w:style>
  <w:style w:type="character" w:customStyle="1" w:styleId="Overskrift8Tegn">
    <w:name w:val="Overskrift 8 Tegn"/>
    <w:link w:val="Overskrift8"/>
    <w:rsid w:val="00E00BE9"/>
    <w:rPr>
      <w:rFonts w:ascii="Arial" w:hAnsi="Arial" w:cs="Calibri"/>
      <w:szCs w:val="20"/>
      <w:lang w:val="de-DE" w:eastAsia="de-DE"/>
    </w:rPr>
  </w:style>
  <w:style w:type="character" w:customStyle="1" w:styleId="Overskrift9Tegn">
    <w:name w:val="Overskrift 9 Tegn"/>
    <w:link w:val="Overskrift9"/>
    <w:rsid w:val="00E00BE9"/>
    <w:rPr>
      <w:rFonts w:ascii="Arial" w:hAnsi="Arial" w:cs="Calibri"/>
      <w:szCs w:val="20"/>
      <w:lang w:val="de-DE" w:eastAsia="de-DE"/>
    </w:rPr>
  </w:style>
  <w:style w:type="character" w:styleId="Hyperkobling">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Sidetall">
    <w:name w:val="page number"/>
    <w:basedOn w:val="Standardskriftforavsnitt"/>
    <w:rsid w:val="008D1694"/>
  </w:style>
  <w:style w:type="paragraph" w:styleId="Figurliste">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INNH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INNH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INNH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INNH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INNH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INNH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INNH7">
    <w:name w:val="toc 7"/>
    <w:basedOn w:val="Normal"/>
    <w:next w:val="Normal"/>
    <w:autoRedefine/>
    <w:semiHidden/>
    <w:rsid w:val="00243228"/>
    <w:pPr>
      <w:ind w:left="1200"/>
    </w:pPr>
    <w:rPr>
      <w:sz w:val="20"/>
      <w:szCs w:val="20"/>
    </w:rPr>
  </w:style>
  <w:style w:type="paragraph" w:styleId="INNH8">
    <w:name w:val="toc 8"/>
    <w:basedOn w:val="Normal"/>
    <w:next w:val="Normal"/>
    <w:autoRedefine/>
    <w:semiHidden/>
    <w:rsid w:val="00243228"/>
    <w:pPr>
      <w:ind w:left="1440"/>
    </w:pPr>
    <w:rPr>
      <w:sz w:val="20"/>
      <w:szCs w:val="20"/>
    </w:rPr>
  </w:style>
  <w:style w:type="paragraph" w:styleId="INNH9">
    <w:name w:val="toc 9"/>
    <w:basedOn w:val="Normal"/>
    <w:next w:val="Normal"/>
    <w:autoRedefine/>
    <w:semiHidden/>
    <w:rsid w:val="00243228"/>
    <w:pPr>
      <w:ind w:left="1680"/>
    </w:pPr>
    <w:rPr>
      <w:sz w:val="20"/>
      <w:szCs w:val="20"/>
    </w:rPr>
  </w:style>
  <w:style w:type="numbering" w:styleId="Artikkelavsnitt">
    <w:name w:val="Outline List 3"/>
    <w:basedOn w:val="Ingenliste"/>
    <w:rsid w:val="008D1694"/>
    <w:pPr>
      <w:numPr>
        <w:numId w:val="9"/>
      </w:numPr>
    </w:pPr>
  </w:style>
  <w:style w:type="paragraph" w:styleId="Brdtekstinnrykk">
    <w:name w:val="Body Text Indent"/>
    <w:basedOn w:val="Normal"/>
    <w:link w:val="BrdtekstinnrykkTegn"/>
    <w:rsid w:val="008D1694"/>
    <w:pPr>
      <w:spacing w:after="120"/>
      <w:ind w:left="567"/>
    </w:pPr>
  </w:style>
  <w:style w:type="character" w:customStyle="1" w:styleId="BrdtekstinnrykkTegn">
    <w:name w:val="Brødtekstinnrykk Tegn"/>
    <w:link w:val="Brdtekstinnrykk"/>
    <w:rsid w:val="00243228"/>
    <w:rPr>
      <w:rFonts w:ascii="Arial" w:hAnsi="Arial" w:cs="Times New Roman"/>
      <w:szCs w:val="24"/>
    </w:rPr>
  </w:style>
  <w:style w:type="paragraph" w:styleId="Brdtekstinnrykk2">
    <w:name w:val="Body Text Indent 2"/>
    <w:basedOn w:val="Normal"/>
    <w:link w:val="Brdtekstinnrykk2Tegn"/>
    <w:rsid w:val="008D1694"/>
    <w:pPr>
      <w:spacing w:after="120"/>
      <w:ind w:left="1134"/>
      <w:jc w:val="both"/>
    </w:pPr>
    <w:rPr>
      <w:lang w:eastAsia="de-DE"/>
    </w:rPr>
  </w:style>
  <w:style w:type="character" w:customStyle="1" w:styleId="Brdtekstinnrykk2Tegn">
    <w:name w:val="Brødtekstinnrykk 2 Tegn"/>
    <w:link w:val="Brdtekstinnrykk2"/>
    <w:rsid w:val="00243228"/>
    <w:rPr>
      <w:rFonts w:ascii="Arial" w:hAnsi="Arial" w:cs="Times New Roman"/>
      <w:szCs w:val="24"/>
      <w:lang w:eastAsia="de-DE"/>
    </w:rPr>
  </w:style>
  <w:style w:type="character" w:styleId="Fotnotereferanse">
    <w:name w:val="footnote reference"/>
    <w:semiHidden/>
    <w:rsid w:val="008D1694"/>
    <w:rPr>
      <w:rFonts w:ascii="Arial" w:hAnsi="Arial"/>
      <w:sz w:val="16"/>
    </w:rPr>
  </w:style>
  <w:style w:type="paragraph" w:styleId="Fotnotetekst">
    <w:name w:val="footnote text"/>
    <w:basedOn w:val="Normal"/>
    <w:link w:val="FotnotetekstTegn"/>
    <w:semiHidden/>
    <w:rsid w:val="00243228"/>
    <w:rPr>
      <w:sz w:val="20"/>
      <w:szCs w:val="20"/>
    </w:rPr>
  </w:style>
  <w:style w:type="character" w:customStyle="1" w:styleId="FotnotetekstTegn">
    <w:name w:val="Fotnotetekst Tegn"/>
    <w:link w:val="Fotnotetekst"/>
    <w:semiHidden/>
    <w:rsid w:val="00243228"/>
    <w:rPr>
      <w:rFonts w:ascii="Arial" w:hAnsi="Arial" w:cs="Times New Roman"/>
      <w:sz w:val="20"/>
      <w:szCs w:val="20"/>
    </w:rPr>
  </w:style>
  <w:style w:type="paragraph" w:styleId="Bobletekst">
    <w:name w:val="Balloon Text"/>
    <w:basedOn w:val="Normal"/>
    <w:link w:val="BobletekstTegn"/>
    <w:uiPriority w:val="99"/>
    <w:semiHidden/>
    <w:unhideWhenUsed/>
    <w:rsid w:val="002B24E6"/>
    <w:rPr>
      <w:rFonts w:ascii="Tahoma" w:hAnsi="Tahoma" w:cs="Tahoma"/>
      <w:sz w:val="16"/>
      <w:szCs w:val="16"/>
    </w:rPr>
  </w:style>
  <w:style w:type="character" w:customStyle="1" w:styleId="BobletekstTegn">
    <w:name w:val="Bobletekst Tegn"/>
    <w:basedOn w:val="Standardskriftforavsnitt"/>
    <w:link w:val="Bobletekst"/>
    <w:uiPriority w:val="99"/>
    <w:semiHidden/>
    <w:rsid w:val="002B24E6"/>
    <w:rPr>
      <w:rFonts w:ascii="Tahoma" w:hAnsi="Tahoma" w:cs="Tahoma"/>
      <w:sz w:val="16"/>
      <w:szCs w:val="16"/>
    </w:rPr>
  </w:style>
  <w:style w:type="paragraph" w:styleId="Undertittel">
    <w:name w:val="Subtitle"/>
    <w:basedOn w:val="Normal"/>
    <w:link w:val="UndertittelTegn"/>
    <w:qFormat/>
    <w:rsid w:val="008D1694"/>
    <w:pPr>
      <w:spacing w:after="60"/>
      <w:jc w:val="center"/>
      <w:outlineLvl w:val="1"/>
    </w:pPr>
    <w:rPr>
      <w:rFonts w:cs="Arial"/>
    </w:rPr>
  </w:style>
  <w:style w:type="character" w:customStyle="1" w:styleId="UndertittelTegn">
    <w:name w:val="Undertittel Tegn"/>
    <w:link w:val="Undertittel"/>
    <w:rsid w:val="00243228"/>
    <w:rPr>
      <w:rFonts w:ascii="Arial" w:hAnsi="Arial" w:cs="Arial"/>
      <w:szCs w:val="24"/>
    </w:rPr>
  </w:style>
  <w:style w:type="paragraph" w:styleId="Tittel">
    <w:name w:val="Title"/>
    <w:basedOn w:val="Normal"/>
    <w:link w:val="TittelTegn"/>
    <w:qFormat/>
    <w:rsid w:val="00943E9C"/>
    <w:pPr>
      <w:spacing w:before="120" w:after="240"/>
      <w:jc w:val="center"/>
      <w:outlineLvl w:val="0"/>
    </w:pPr>
    <w:rPr>
      <w:rFonts w:cs="Arial"/>
      <w:b/>
      <w:bCs/>
      <w:kern w:val="28"/>
      <w:sz w:val="32"/>
      <w:szCs w:val="32"/>
    </w:rPr>
  </w:style>
  <w:style w:type="character" w:customStyle="1" w:styleId="TittelTegn">
    <w:name w:val="Tittel Tegn"/>
    <w:link w:val="Tittel"/>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rdtekst"/>
    <w:rsid w:val="008D1694"/>
    <w:pPr>
      <w:numPr>
        <w:numId w:val="8"/>
      </w:numPr>
      <w:spacing w:before="120" w:after="120"/>
    </w:pPr>
    <w:rPr>
      <w:rFonts w:cs="Arial"/>
      <w:b/>
      <w:caps/>
      <w:sz w:val="24"/>
    </w:rPr>
  </w:style>
  <w:style w:type="paragraph" w:customStyle="1" w:styleId="AppendixHeading2">
    <w:name w:val="Appendix Heading 2"/>
    <w:basedOn w:val="Normal"/>
    <w:next w:val="Brdteks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rdtekst"/>
    <w:rsid w:val="008D1694"/>
    <w:pPr>
      <w:numPr>
        <w:ilvl w:val="3"/>
        <w:numId w:val="8"/>
      </w:numPr>
      <w:spacing w:before="120" w:after="120"/>
    </w:pPr>
    <w:rPr>
      <w:rFonts w:cs="Arial"/>
    </w:rPr>
  </w:style>
  <w:style w:type="paragraph" w:customStyle="1" w:styleId="equation">
    <w:name w:val="equation"/>
    <w:basedOn w:val="Normal"/>
    <w:next w:val="Brdtekst"/>
    <w:qFormat/>
    <w:rsid w:val="008A50CC"/>
    <w:pPr>
      <w:keepNext/>
      <w:numPr>
        <w:numId w:val="36"/>
      </w:numPr>
      <w:tabs>
        <w:tab w:val="left" w:pos="142"/>
      </w:tabs>
      <w:spacing w:after="120"/>
      <w:jc w:val="right"/>
    </w:pPr>
    <w:rPr>
      <w:rFonts w:eastAsia="Times New Roman" w:cs="Times New Roman"/>
      <w:szCs w:val="24"/>
      <w:lang w:eastAsia="en-US"/>
    </w:rPr>
  </w:style>
  <w:style w:type="table" w:styleId="Tabellrutenett">
    <w:name w:val="Table Grid"/>
    <w:basedOn w:val="Vanligtabel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qFormat/>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customStyle="1" w:styleId="Default">
    <w:name w:val="Default"/>
    <w:rsid w:val="00895219"/>
    <w:pPr>
      <w:autoSpaceDE w:val="0"/>
      <w:autoSpaceDN w:val="0"/>
      <w:adjustRightInd w:val="0"/>
    </w:pPr>
    <w:rPr>
      <w:rFonts w:ascii="Helvetica Black" w:hAnsi="Helvetica Black" w:cs="Helvetica Black"/>
      <w:color w:val="000000"/>
      <w:sz w:val="24"/>
      <w:szCs w:val="24"/>
      <w:lang w:val="nb-N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Rubrik1">
    <w:name w:val="heading 1"/>
    <w:basedOn w:val="Normal"/>
    <w:next w:val="Brdtext"/>
    <w:link w:val="Rubrik1Char"/>
    <w:qFormat/>
    <w:rsid w:val="00D332B3"/>
    <w:pPr>
      <w:keepNext/>
      <w:numPr>
        <w:numId w:val="37"/>
      </w:numPr>
      <w:spacing w:before="240" w:after="240"/>
      <w:outlineLvl w:val="0"/>
    </w:pPr>
    <w:rPr>
      <w:b/>
      <w:caps/>
      <w:kern w:val="28"/>
      <w:sz w:val="24"/>
      <w:lang w:eastAsia="de-DE"/>
    </w:rPr>
  </w:style>
  <w:style w:type="paragraph" w:styleId="Rubrik2">
    <w:name w:val="heading 2"/>
    <w:basedOn w:val="Normal"/>
    <w:next w:val="Brdtext"/>
    <w:link w:val="Rubrik2Char"/>
    <w:qFormat/>
    <w:rsid w:val="00D332B3"/>
    <w:pPr>
      <w:numPr>
        <w:ilvl w:val="1"/>
        <w:numId w:val="37"/>
      </w:numPr>
      <w:spacing w:before="120" w:after="120"/>
      <w:outlineLvl w:val="1"/>
    </w:pPr>
    <w:rPr>
      <w:b/>
    </w:rPr>
  </w:style>
  <w:style w:type="paragraph" w:styleId="Rubrik3">
    <w:name w:val="heading 3"/>
    <w:basedOn w:val="Normal"/>
    <w:next w:val="Brdtext"/>
    <w:link w:val="Rubrik3Char"/>
    <w:qFormat/>
    <w:rsid w:val="00D332B3"/>
    <w:pPr>
      <w:keepNext/>
      <w:numPr>
        <w:ilvl w:val="2"/>
        <w:numId w:val="37"/>
      </w:numPr>
      <w:spacing w:before="120" w:after="120"/>
      <w:outlineLvl w:val="2"/>
    </w:pPr>
    <w:rPr>
      <w:szCs w:val="20"/>
      <w:lang w:eastAsia="de-DE"/>
    </w:rPr>
  </w:style>
  <w:style w:type="paragraph" w:styleId="Rubrik4">
    <w:name w:val="heading 4"/>
    <w:basedOn w:val="Normal"/>
    <w:next w:val="Brdtextmedindrag"/>
    <w:link w:val="Rubrik4Char"/>
    <w:rsid w:val="00D332B3"/>
    <w:pPr>
      <w:keepNext/>
      <w:numPr>
        <w:ilvl w:val="3"/>
        <w:numId w:val="37"/>
      </w:numPr>
      <w:spacing w:before="120" w:after="120"/>
      <w:outlineLvl w:val="3"/>
    </w:pPr>
    <w:rPr>
      <w:szCs w:val="20"/>
      <w:lang w:val="en-US" w:eastAsia="de-DE"/>
    </w:rPr>
  </w:style>
  <w:style w:type="paragraph" w:styleId="Rubrik5">
    <w:name w:val="heading 5"/>
    <w:basedOn w:val="Normal"/>
    <w:next w:val="Normal"/>
    <w:link w:val="Rubrik5Char"/>
    <w:rsid w:val="00D332B3"/>
    <w:pPr>
      <w:numPr>
        <w:ilvl w:val="4"/>
        <w:numId w:val="37"/>
      </w:numPr>
      <w:spacing w:before="240" w:after="120"/>
      <w:outlineLvl w:val="4"/>
    </w:pPr>
    <w:rPr>
      <w:rFonts w:eastAsia="Times New Roman" w:cs="Times New Roman"/>
      <w:szCs w:val="20"/>
      <w:lang w:val="de-DE" w:eastAsia="de-DE"/>
    </w:rPr>
  </w:style>
  <w:style w:type="paragraph" w:styleId="Rubrik6">
    <w:name w:val="heading 6"/>
    <w:basedOn w:val="Normal"/>
    <w:next w:val="Brdtextmedindrag2"/>
    <w:link w:val="Rubrik6Char"/>
    <w:rsid w:val="00D332B3"/>
    <w:pPr>
      <w:numPr>
        <w:ilvl w:val="5"/>
        <w:numId w:val="37"/>
      </w:numPr>
      <w:tabs>
        <w:tab w:val="left" w:pos="1418"/>
      </w:tabs>
      <w:spacing w:before="120" w:after="120"/>
      <w:outlineLvl w:val="5"/>
    </w:pPr>
    <w:rPr>
      <w:szCs w:val="20"/>
      <w:lang w:val="de-DE" w:eastAsia="de-DE"/>
    </w:rPr>
  </w:style>
  <w:style w:type="paragraph" w:styleId="Rubrik7">
    <w:name w:val="heading 7"/>
    <w:basedOn w:val="Normal"/>
    <w:next w:val="Brdtextmedindrag2"/>
    <w:link w:val="Rubrik7Char"/>
    <w:rsid w:val="00D332B3"/>
    <w:pPr>
      <w:numPr>
        <w:ilvl w:val="6"/>
        <w:numId w:val="37"/>
      </w:numPr>
      <w:tabs>
        <w:tab w:val="left" w:pos="1701"/>
      </w:tabs>
      <w:spacing w:before="120" w:after="120"/>
      <w:outlineLvl w:val="6"/>
    </w:pPr>
    <w:rPr>
      <w:szCs w:val="20"/>
      <w:lang w:val="de-DE" w:eastAsia="de-DE"/>
    </w:rPr>
  </w:style>
  <w:style w:type="paragraph" w:styleId="Rubrik8">
    <w:name w:val="heading 8"/>
    <w:basedOn w:val="Normal"/>
    <w:next w:val="Brdtextmedindrag2"/>
    <w:link w:val="Rubrik8Char"/>
    <w:rsid w:val="00D332B3"/>
    <w:pPr>
      <w:numPr>
        <w:ilvl w:val="7"/>
        <w:numId w:val="37"/>
      </w:numPr>
      <w:tabs>
        <w:tab w:val="left" w:pos="1985"/>
      </w:tabs>
      <w:spacing w:before="120" w:after="120"/>
      <w:outlineLvl w:val="7"/>
    </w:pPr>
    <w:rPr>
      <w:szCs w:val="20"/>
      <w:lang w:val="de-DE" w:eastAsia="de-DE"/>
    </w:rPr>
  </w:style>
  <w:style w:type="paragraph" w:styleId="Rubrik9">
    <w:name w:val="heading 9"/>
    <w:basedOn w:val="Normal"/>
    <w:next w:val="Brdtextmedindrag2"/>
    <w:link w:val="Rubrik9Char"/>
    <w:rsid w:val="00D332B3"/>
    <w:pPr>
      <w:numPr>
        <w:ilvl w:val="8"/>
        <w:numId w:val="37"/>
      </w:numPr>
      <w:tabs>
        <w:tab w:val="left" w:pos="2268"/>
      </w:tabs>
      <w:spacing w:before="120" w:after="120"/>
      <w:outlineLvl w:val="8"/>
    </w:pPr>
    <w:rPr>
      <w:szCs w:val="20"/>
      <w:lang w:val="de-DE" w:eastAsia="de-DE"/>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link w:val="Rubrik1"/>
    <w:rsid w:val="0085654D"/>
    <w:rPr>
      <w:rFonts w:ascii="Arial" w:hAnsi="Arial" w:cs="Calibri"/>
      <w:b/>
      <w:caps/>
      <w:kern w:val="28"/>
      <w:sz w:val="24"/>
      <w:lang w:eastAsia="de-DE"/>
    </w:rPr>
  </w:style>
  <w:style w:type="character" w:customStyle="1" w:styleId="Rubrik2Char">
    <w:name w:val="Rubrik 2 Char"/>
    <w:link w:val="Rubrik2"/>
    <w:rsid w:val="00E00BE9"/>
    <w:rPr>
      <w:rFonts w:ascii="Arial" w:hAnsi="Arial" w:cs="Calibri"/>
      <w:b/>
      <w:lang w:eastAsia="en-GB"/>
    </w:rPr>
  </w:style>
  <w:style w:type="paragraph" w:customStyle="1" w:styleId="Annex">
    <w:name w:val="Annex"/>
    <w:basedOn w:val="Rubrik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rdtext"/>
    <w:rsid w:val="008D1694"/>
    <w:pPr>
      <w:numPr>
        <w:numId w:val="6"/>
      </w:numPr>
      <w:spacing w:before="120" w:after="120"/>
    </w:pPr>
    <w:rPr>
      <w:rFonts w:cs="Arial"/>
      <w:b/>
      <w:caps/>
      <w:sz w:val="24"/>
    </w:rPr>
  </w:style>
  <w:style w:type="paragraph" w:customStyle="1" w:styleId="AnnexHeading2">
    <w:name w:val="Annex Heading 2"/>
    <w:basedOn w:val="Normal"/>
    <w:next w:val="Brd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rd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rdtext">
    <w:name w:val="Body Text"/>
    <w:basedOn w:val="Normal"/>
    <w:link w:val="BrdtextChar"/>
    <w:qFormat/>
    <w:rsid w:val="008D1694"/>
    <w:pPr>
      <w:spacing w:after="120"/>
      <w:jc w:val="both"/>
    </w:pPr>
  </w:style>
  <w:style w:type="character" w:customStyle="1" w:styleId="BrdtextChar">
    <w:name w:val="Brödtext Char"/>
    <w:link w:val="Brd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Sidfot">
    <w:name w:val="footer"/>
    <w:basedOn w:val="Normal"/>
    <w:link w:val="SidfotChar"/>
    <w:rsid w:val="008D1694"/>
    <w:pPr>
      <w:tabs>
        <w:tab w:val="center" w:pos="4820"/>
        <w:tab w:val="right" w:pos="9639"/>
      </w:tabs>
    </w:pPr>
  </w:style>
  <w:style w:type="character" w:customStyle="1" w:styleId="SidfotChar">
    <w:name w:val="Sidfot Char"/>
    <w:link w:val="Sidfot"/>
    <w:rsid w:val="00084F33"/>
    <w:rPr>
      <w:rFonts w:ascii="Arial" w:hAnsi="Arial" w:cs="Times New Roman"/>
      <w:szCs w:val="24"/>
    </w:rPr>
  </w:style>
  <w:style w:type="paragraph" w:styleId="Sidhuvud">
    <w:name w:val="header"/>
    <w:basedOn w:val="Normal"/>
    <w:link w:val="SidhuvudChar"/>
    <w:rsid w:val="008D1694"/>
    <w:pPr>
      <w:tabs>
        <w:tab w:val="center" w:pos="4820"/>
        <w:tab w:val="right" w:pos="9639"/>
      </w:tabs>
    </w:pPr>
  </w:style>
  <w:style w:type="character" w:customStyle="1" w:styleId="SidhuvudChar">
    <w:name w:val="Sidhuvud Char"/>
    <w:link w:val="Sidhuvud"/>
    <w:rsid w:val="005C566C"/>
    <w:rPr>
      <w:rFonts w:ascii="Arial" w:eastAsia="Calibri" w:hAnsi="Arial" w:cs="Times New Roman"/>
      <w:szCs w:val="24"/>
      <w:lang w:eastAsia="en-GB"/>
    </w:rPr>
  </w:style>
  <w:style w:type="character" w:customStyle="1" w:styleId="Rubrik3Char">
    <w:name w:val="Rubrik 3 Char"/>
    <w:link w:val="Rubrik3"/>
    <w:rsid w:val="00E00BE9"/>
    <w:rPr>
      <w:rFonts w:ascii="Arial" w:hAnsi="Arial" w:cs="Calibri"/>
      <w:szCs w:val="20"/>
      <w:lang w:eastAsia="de-DE"/>
    </w:rPr>
  </w:style>
  <w:style w:type="character" w:customStyle="1" w:styleId="Rubrik4Char">
    <w:name w:val="Rubrik 4 Char"/>
    <w:link w:val="Rubrik4"/>
    <w:rsid w:val="00E00BE9"/>
    <w:rPr>
      <w:rFonts w:ascii="Arial" w:hAnsi="Arial" w:cs="Calibri"/>
      <w:szCs w:val="20"/>
      <w:lang w:val="en-US" w:eastAsia="de-DE"/>
    </w:rPr>
  </w:style>
  <w:style w:type="character" w:customStyle="1" w:styleId="Rubrik5Char">
    <w:name w:val="Rubrik 5 Char"/>
    <w:link w:val="Rubrik5"/>
    <w:rsid w:val="00D332B3"/>
    <w:rPr>
      <w:rFonts w:ascii="Arial" w:eastAsia="Times New Roman" w:hAnsi="Arial" w:cs="Times New Roman"/>
      <w:szCs w:val="20"/>
      <w:lang w:val="de-DE" w:eastAsia="de-DE"/>
    </w:rPr>
  </w:style>
  <w:style w:type="character" w:customStyle="1" w:styleId="Rubrik6Char">
    <w:name w:val="Rubrik 6 Char"/>
    <w:link w:val="Rubrik6"/>
    <w:rsid w:val="00E00BE9"/>
    <w:rPr>
      <w:rFonts w:ascii="Arial" w:hAnsi="Arial" w:cs="Calibri"/>
      <w:szCs w:val="20"/>
      <w:lang w:val="de-DE" w:eastAsia="de-DE"/>
    </w:rPr>
  </w:style>
  <w:style w:type="character" w:customStyle="1" w:styleId="Rubrik7Char">
    <w:name w:val="Rubrik 7 Char"/>
    <w:link w:val="Rubrik7"/>
    <w:rsid w:val="00E00BE9"/>
    <w:rPr>
      <w:rFonts w:ascii="Arial" w:hAnsi="Arial" w:cs="Calibri"/>
      <w:szCs w:val="20"/>
      <w:lang w:val="de-DE" w:eastAsia="de-DE"/>
    </w:rPr>
  </w:style>
  <w:style w:type="character" w:customStyle="1" w:styleId="Rubrik8Char">
    <w:name w:val="Rubrik 8 Char"/>
    <w:link w:val="Rubrik8"/>
    <w:rsid w:val="00E00BE9"/>
    <w:rPr>
      <w:rFonts w:ascii="Arial" w:hAnsi="Arial" w:cs="Calibri"/>
      <w:szCs w:val="20"/>
      <w:lang w:val="de-DE" w:eastAsia="de-DE"/>
    </w:rPr>
  </w:style>
  <w:style w:type="character" w:customStyle="1" w:styleId="Rubrik9Char">
    <w:name w:val="Rubrik 9 Char"/>
    <w:link w:val="Rubrik9"/>
    <w:rsid w:val="00E00BE9"/>
    <w:rPr>
      <w:rFonts w:ascii="Arial" w:hAnsi="Arial" w:cs="Calibri"/>
      <w:szCs w:val="20"/>
      <w:lang w:val="de-DE" w:eastAsia="de-DE"/>
    </w:rPr>
  </w:style>
  <w:style w:type="character" w:styleId="Hyperl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Sidnummer">
    <w:name w:val="page number"/>
    <w:basedOn w:val="Standardstycketeckensnitt"/>
    <w:rsid w:val="008D1694"/>
  </w:style>
  <w:style w:type="paragraph" w:styleId="Figurfrteckning">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Innehll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Innehll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Innehll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Innehll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Innehll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Innehll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Innehll7">
    <w:name w:val="toc 7"/>
    <w:basedOn w:val="Normal"/>
    <w:next w:val="Normal"/>
    <w:autoRedefine/>
    <w:semiHidden/>
    <w:rsid w:val="00243228"/>
    <w:pPr>
      <w:ind w:left="1200"/>
    </w:pPr>
    <w:rPr>
      <w:sz w:val="20"/>
      <w:szCs w:val="20"/>
    </w:rPr>
  </w:style>
  <w:style w:type="paragraph" w:styleId="Innehll8">
    <w:name w:val="toc 8"/>
    <w:basedOn w:val="Normal"/>
    <w:next w:val="Normal"/>
    <w:autoRedefine/>
    <w:semiHidden/>
    <w:rsid w:val="00243228"/>
    <w:pPr>
      <w:ind w:left="1440"/>
    </w:pPr>
    <w:rPr>
      <w:sz w:val="20"/>
      <w:szCs w:val="20"/>
    </w:rPr>
  </w:style>
  <w:style w:type="paragraph" w:styleId="Innehll9">
    <w:name w:val="toc 9"/>
    <w:basedOn w:val="Normal"/>
    <w:next w:val="Normal"/>
    <w:autoRedefine/>
    <w:semiHidden/>
    <w:rsid w:val="00243228"/>
    <w:pPr>
      <w:ind w:left="1680"/>
    </w:pPr>
    <w:rPr>
      <w:sz w:val="20"/>
      <w:szCs w:val="20"/>
    </w:rPr>
  </w:style>
  <w:style w:type="numbering" w:styleId="Artikelsektion">
    <w:name w:val="Outline List 3"/>
    <w:basedOn w:val="Ingenlista"/>
    <w:rsid w:val="008D1694"/>
    <w:pPr>
      <w:numPr>
        <w:numId w:val="9"/>
      </w:numPr>
    </w:pPr>
  </w:style>
  <w:style w:type="paragraph" w:styleId="Brdtextmedindrag">
    <w:name w:val="Body Text Indent"/>
    <w:basedOn w:val="Normal"/>
    <w:link w:val="BrdtextmedindragChar"/>
    <w:rsid w:val="008D1694"/>
    <w:pPr>
      <w:spacing w:after="120"/>
      <w:ind w:left="567"/>
    </w:pPr>
  </w:style>
  <w:style w:type="character" w:customStyle="1" w:styleId="BrdtextmedindragChar">
    <w:name w:val="Brödtext med indrag Char"/>
    <w:link w:val="Brdtextmedindrag"/>
    <w:rsid w:val="00243228"/>
    <w:rPr>
      <w:rFonts w:ascii="Arial" w:hAnsi="Arial" w:cs="Times New Roman"/>
      <w:szCs w:val="24"/>
    </w:rPr>
  </w:style>
  <w:style w:type="paragraph" w:styleId="Brdtextmedindrag2">
    <w:name w:val="Body Text Indent 2"/>
    <w:basedOn w:val="Normal"/>
    <w:link w:val="Brdtextmedindrag2Char"/>
    <w:rsid w:val="008D1694"/>
    <w:pPr>
      <w:spacing w:after="120"/>
      <w:ind w:left="1134"/>
      <w:jc w:val="both"/>
    </w:pPr>
    <w:rPr>
      <w:lang w:eastAsia="de-DE"/>
    </w:rPr>
  </w:style>
  <w:style w:type="character" w:customStyle="1" w:styleId="Brdtextmedindrag2Char">
    <w:name w:val="Brödtext med indrag 2 Char"/>
    <w:link w:val="Brdtextmedindrag2"/>
    <w:rsid w:val="00243228"/>
    <w:rPr>
      <w:rFonts w:ascii="Arial" w:hAnsi="Arial" w:cs="Times New Roman"/>
      <w:szCs w:val="24"/>
      <w:lang w:eastAsia="de-DE"/>
    </w:rPr>
  </w:style>
  <w:style w:type="character" w:styleId="Fotnotsreferens">
    <w:name w:val="footnote reference"/>
    <w:semiHidden/>
    <w:rsid w:val="008D1694"/>
    <w:rPr>
      <w:rFonts w:ascii="Arial" w:hAnsi="Arial"/>
      <w:sz w:val="16"/>
    </w:rPr>
  </w:style>
  <w:style w:type="paragraph" w:styleId="Fotnotstext">
    <w:name w:val="footnote text"/>
    <w:basedOn w:val="Normal"/>
    <w:link w:val="FotnotstextChar"/>
    <w:semiHidden/>
    <w:rsid w:val="00243228"/>
    <w:rPr>
      <w:sz w:val="20"/>
      <w:szCs w:val="20"/>
    </w:rPr>
  </w:style>
  <w:style w:type="character" w:customStyle="1" w:styleId="FotnotstextChar">
    <w:name w:val="Fotnotstext Char"/>
    <w:link w:val="Fotnotstext"/>
    <w:semiHidden/>
    <w:rsid w:val="00243228"/>
    <w:rPr>
      <w:rFonts w:ascii="Arial" w:hAnsi="Arial" w:cs="Times New Roman"/>
      <w:sz w:val="20"/>
      <w:szCs w:val="20"/>
    </w:rPr>
  </w:style>
  <w:style w:type="paragraph" w:styleId="Ballongtext">
    <w:name w:val="Balloon Text"/>
    <w:basedOn w:val="Normal"/>
    <w:link w:val="BallongtextChar"/>
    <w:uiPriority w:val="99"/>
    <w:semiHidden/>
    <w:unhideWhenUsed/>
    <w:rsid w:val="002B24E6"/>
    <w:rPr>
      <w:rFonts w:ascii="Tahoma" w:hAnsi="Tahoma" w:cs="Tahoma"/>
      <w:sz w:val="16"/>
      <w:szCs w:val="16"/>
    </w:rPr>
  </w:style>
  <w:style w:type="character" w:customStyle="1" w:styleId="BallongtextChar">
    <w:name w:val="Ballongtext Char"/>
    <w:basedOn w:val="Standardstycketeckensnitt"/>
    <w:link w:val="Ballongtext"/>
    <w:uiPriority w:val="99"/>
    <w:semiHidden/>
    <w:rsid w:val="002B24E6"/>
    <w:rPr>
      <w:rFonts w:ascii="Tahoma" w:hAnsi="Tahoma" w:cs="Tahoma"/>
      <w:sz w:val="16"/>
      <w:szCs w:val="16"/>
    </w:rPr>
  </w:style>
  <w:style w:type="paragraph" w:styleId="Underrubrik">
    <w:name w:val="Subtitle"/>
    <w:basedOn w:val="Normal"/>
    <w:link w:val="UnderrubrikChar"/>
    <w:qFormat/>
    <w:rsid w:val="008D1694"/>
    <w:pPr>
      <w:spacing w:after="60"/>
      <w:jc w:val="center"/>
      <w:outlineLvl w:val="1"/>
    </w:pPr>
    <w:rPr>
      <w:rFonts w:cs="Arial"/>
    </w:rPr>
  </w:style>
  <w:style w:type="character" w:customStyle="1" w:styleId="UnderrubrikChar">
    <w:name w:val="Underrubrik Char"/>
    <w:link w:val="Underrubrik"/>
    <w:rsid w:val="00243228"/>
    <w:rPr>
      <w:rFonts w:ascii="Arial" w:hAnsi="Arial" w:cs="Arial"/>
      <w:szCs w:val="24"/>
    </w:rPr>
  </w:style>
  <w:style w:type="paragraph" w:styleId="Rubrik">
    <w:name w:val="Title"/>
    <w:basedOn w:val="Normal"/>
    <w:link w:val="RubrikChar"/>
    <w:qFormat/>
    <w:rsid w:val="00943E9C"/>
    <w:pPr>
      <w:spacing w:before="120" w:after="240"/>
      <w:jc w:val="center"/>
      <w:outlineLvl w:val="0"/>
    </w:pPr>
    <w:rPr>
      <w:rFonts w:cs="Arial"/>
      <w:b/>
      <w:bCs/>
      <w:kern w:val="28"/>
      <w:sz w:val="32"/>
      <w:szCs w:val="32"/>
    </w:rPr>
  </w:style>
  <w:style w:type="character" w:customStyle="1" w:styleId="RubrikChar">
    <w:name w:val="Rubrik Char"/>
    <w:link w:val="Rubrik"/>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rdtext"/>
    <w:rsid w:val="008D1694"/>
    <w:pPr>
      <w:numPr>
        <w:numId w:val="8"/>
      </w:numPr>
      <w:spacing w:before="120" w:after="120"/>
    </w:pPr>
    <w:rPr>
      <w:rFonts w:cs="Arial"/>
      <w:b/>
      <w:caps/>
      <w:sz w:val="24"/>
    </w:rPr>
  </w:style>
  <w:style w:type="paragraph" w:customStyle="1" w:styleId="AppendixHeading2">
    <w:name w:val="Appendix Heading 2"/>
    <w:basedOn w:val="Normal"/>
    <w:next w:val="Brd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rdtext"/>
    <w:rsid w:val="008D1694"/>
    <w:pPr>
      <w:numPr>
        <w:ilvl w:val="3"/>
        <w:numId w:val="8"/>
      </w:numPr>
      <w:spacing w:before="120" w:after="120"/>
    </w:pPr>
    <w:rPr>
      <w:rFonts w:cs="Arial"/>
    </w:rPr>
  </w:style>
  <w:style w:type="paragraph" w:customStyle="1" w:styleId="equation">
    <w:name w:val="equation"/>
    <w:basedOn w:val="Normal"/>
    <w:next w:val="Brdtext"/>
    <w:qFormat/>
    <w:rsid w:val="008A50CC"/>
    <w:pPr>
      <w:keepNext/>
      <w:numPr>
        <w:numId w:val="36"/>
      </w:numPr>
      <w:tabs>
        <w:tab w:val="left" w:pos="142"/>
      </w:tabs>
      <w:spacing w:after="120"/>
      <w:jc w:val="right"/>
    </w:pPr>
    <w:rPr>
      <w:rFonts w:eastAsia="Times New Roman" w:cs="Times New Roman"/>
      <w:szCs w:val="24"/>
      <w:lang w:eastAsia="en-US"/>
    </w:rPr>
  </w:style>
  <w:style w:type="table" w:styleId="Tabellrutnt">
    <w:name w:val="Table Grid"/>
    <w:basedOn w:val="Normaltabel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qFormat/>
    <w:rsid w:val="000005D3"/>
    <w:pPr>
      <w:numPr>
        <w:numId w:val="41"/>
      </w:numPr>
      <w:tabs>
        <w:tab w:val="left" w:pos="1985"/>
      </w:tabs>
      <w:spacing w:before="120" w:after="240"/>
      <w:ind w:left="1985" w:hanging="1985"/>
    </w:pPr>
    <w:rPr>
      <w:rFonts w:eastAsia="Times New Roman" w:cs="Times New Roman"/>
      <w:b/>
      <w:sz w:val="24"/>
      <w:szCs w:val="28"/>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C52F8D-7056-416E-B4FE-D08E7FAC4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1</Pages>
  <Words>1706</Words>
  <Characters>9047</Characters>
  <Application>Microsoft Office Word</Application>
  <DocSecurity>0</DocSecurity>
  <Lines>75</Lines>
  <Paragraphs>21</Paragraphs>
  <ScaleCrop>false</ScaleCrop>
  <HeadingPairs>
    <vt:vector size="6" baseType="variant">
      <vt:variant>
        <vt:lpstr>Tittel</vt:lpstr>
      </vt:variant>
      <vt:variant>
        <vt:i4>1</vt:i4>
      </vt:variant>
      <vt:variant>
        <vt:lpstr>Rubrik</vt:lpstr>
      </vt:variant>
      <vt:variant>
        <vt:i4>1</vt:i4>
      </vt:variant>
      <vt:variant>
        <vt:lpstr>Title</vt:lpstr>
      </vt:variant>
      <vt:variant>
        <vt:i4>1</vt:i4>
      </vt:variant>
    </vt:vector>
  </HeadingPairs>
  <TitlesOfParts>
    <vt:vector size="3" baseType="lpstr">
      <vt:lpstr/>
      <vt:lpstr/>
      <vt:lpstr/>
    </vt:vector>
  </TitlesOfParts>
  <Company>Sjöfartsverket</Company>
  <LinksUpToDate>false</LinksUpToDate>
  <CharactersWithSpaces>10732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 (Home)</dc:creator>
  <cp:lastModifiedBy>Bjørn Erik Krosness</cp:lastModifiedBy>
  <cp:revision>7</cp:revision>
  <dcterms:created xsi:type="dcterms:W3CDTF">2012-11-15T07:17:00Z</dcterms:created>
  <dcterms:modified xsi:type="dcterms:W3CDTF">2012-11-15T10:22:00Z</dcterms:modified>
</cp:coreProperties>
</file>